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ПОЯСНИТЕЛЬНАЯ ЗАПИСКА</w:t>
      </w:r>
      <w:r>
        <w:rPr>
          <w:rFonts w:ascii="Times New Roman" w:hAnsi="Times New Roman" w:cs="Times New Roman"/>
          <w:b/>
          <w:sz w:val="28"/>
          <w:szCs w:val="28"/>
        </w:rPr>
        <w:br/>
        <w:t xml:space="preserve">к расчетам прогноза поступлений администрируемых доходов в областной бюджет Новосибирской области на очередной финансовый год и плановый период 2026-2028 гг.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прогноза поступлений администрируемых доходов в областной бюджет Новосибирской области </w:t>
      </w:r>
      <w:r>
        <w:rPr>
          <w:rFonts w:ascii="Times New Roman" w:hAnsi="Times New Roman"/>
          <w:sz w:val="28"/>
        </w:rPr>
        <w:t xml:space="preserve">произведен согласно Методике прогнозирования поступлений доходов в бюджеты бюджетной системы Российской Федерации по кодам классификации доходов, закрепленным за </w:t>
      </w:r>
      <w:r>
        <w:rPr>
          <w:rFonts w:ascii="Times New Roman" w:hAnsi="Times New Roman"/>
          <w:sz w:val="28"/>
        </w:rPr>
        <w:t xml:space="preserve">управлением государственной архивной службы Новосибирской области,</w:t>
      </w:r>
      <w:r>
        <w:rPr>
          <w:rFonts w:ascii="Times New Roman" w:hAnsi="Times New Roman" w:cs="Times New Roman"/>
          <w:sz w:val="28"/>
          <w:szCs w:val="28"/>
        </w:rPr>
        <w:t xml:space="preserve"> утвержденной приказом управления государственной архивной службы Новосибирской области (далее – управление ГАС НСО) от 01.09.2016 </w:t>
      </w:r>
      <w:r>
        <w:rPr>
          <w:rFonts w:ascii="Times New Roman" w:hAnsi="Times New Roman" w:cs="Times New Roman"/>
          <w:sz w:val="28"/>
          <w:szCs w:val="28"/>
        </w:rPr>
        <w:br/>
        <w:t xml:space="preserve">№ 136-од, и представлен по следующим кодам доходов: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</w:t>
      </w:r>
      <w:r>
        <w:rPr>
          <w:rFonts w:ascii="Times New Roman" w:hAnsi="Times New Roman" w:cs="Times New Roman"/>
          <w:sz w:val="28"/>
          <w:szCs w:val="28"/>
        </w:rPr>
        <w:t xml:space="preserve">у доходов</w:t>
      </w:r>
      <w:r>
        <w:rPr>
          <w:rFonts w:ascii="Times New Roman" w:hAnsi="Times New Roman" w:cs="Times New Roman"/>
          <w:b/>
          <w:sz w:val="28"/>
          <w:szCs w:val="28"/>
        </w:rPr>
        <w:t xml:space="preserve"> 046 1 13 01992 02 0000 130</w:t>
      </w:r>
      <w:r>
        <w:rPr>
          <w:rFonts w:ascii="Times New Roman" w:hAnsi="Times New Roman" w:cs="Times New Roman"/>
          <w:sz w:val="28"/>
          <w:szCs w:val="28"/>
        </w:rPr>
        <w:t xml:space="preserve"> «Прочие доходы от оказания платных услуг (работ) получателями средств бюджетов субъектов Российской Федерации» план на 2025 год утвержден в размере 2 408,5 тыс. руб., фактическое исполнение за 5 месяцев 2025 года состав</w:t>
      </w:r>
      <w:r>
        <w:rPr>
          <w:rFonts w:ascii="Times New Roman" w:hAnsi="Times New Roman" w:cs="Times New Roman"/>
          <w:sz w:val="28"/>
          <w:szCs w:val="28"/>
        </w:rPr>
        <w:t xml:space="preserve">ило 2 630,5 тыс. руб. или 109,2% от годовых плановых назначений. Ожидаемое поступление в 2025 году составляет 2 952,3 тыс. руб.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Оценка поступлений текущего года основывается на фактическом поступлении доходов за текущий период и 3 года, предшествующих году</w:t>
      </w:r>
      <w:r>
        <w:rPr>
          <w:rFonts w:ascii="Times New Roman" w:hAnsi="Times New Roman" w:cs="Times New Roman"/>
          <w:bCs/>
          <w:sz w:val="28"/>
          <w:szCs w:val="28"/>
        </w:rPr>
        <w:t xml:space="preserve">, в котором осуществляется планирование.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При расчете поступлений на очередной финансовый год учитывается среднее арифметическое поступление доходов не менее чем за три года.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Прогнозируемый объем поступлений на плановый период принимается равным прогнозируе</w:t>
      </w:r>
      <w:r>
        <w:rPr>
          <w:rFonts w:ascii="Times New Roman" w:hAnsi="Times New Roman" w:cs="Times New Roman"/>
          <w:bCs/>
          <w:sz w:val="28"/>
          <w:szCs w:val="28"/>
        </w:rPr>
        <w:t xml:space="preserve">мому объему поступлений на очередной финансовый год.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2"/>
        <w:ind w:firstLine="709"/>
        <w:jc w:val="both"/>
        <w:spacing w:line="276" w:lineRule="auto"/>
        <w:rPr>
          <w:bCs/>
          <w:sz w:val="28"/>
          <w:szCs w:val="25"/>
        </w:rPr>
      </w:pPr>
      <w:r>
        <w:rPr>
          <w:bCs/>
          <w:sz w:val="28"/>
          <w:szCs w:val="25"/>
        </w:rPr>
        <w:t xml:space="preserve">Сумма доходов от оказания платных услуг, прогнозируемая к поступлению в расчетном году рассчитывается по формуле:</w:t>
      </w:r>
      <w:r>
        <w:rPr>
          <w:bCs/>
          <w:sz w:val="28"/>
          <w:szCs w:val="25"/>
        </w:rPr>
      </w:r>
    </w:p>
    <w:p>
      <w:pPr>
        <w:rPr>
          <w:sz w:val="28"/>
          <w:szCs w:val="28"/>
        </w:rPr>
      </w:pPr>
      <w:r/>
      <m:oMathPara>
        <m:oMathParaPr/>
        <m:oMath>
          <m:r>
            <w:rPr>
              <w:rFonts w:ascii="Cambria Math" w:hAnsi="Cambria Math" w:eastAsia="Calibri"/>
              <w:sz w:val="28"/>
              <w:szCs w:val="28"/>
            </w:rPr>
            <m:rPr/>
            <m:t>Дт=</m:t>
          </m:r>
          <m:f>
            <m:fPr>
              <m:ctrlPr>
                <w:rPr>
                  <w:rFonts w:ascii="Cambria Math" w:hAnsi="Cambria Math" w:eastAsia="Calibri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eastAsia="Calibri"/>
                  <w:sz w:val="28"/>
                  <w:szCs w:val="28"/>
                </w:rPr>
                <m:rPr/>
                <m:t>Д3пр+Д</m:t>
              </m:r>
              <m:r>
                <w:rPr>
                  <w:rFonts w:ascii="Cambria Math" w:hAnsi="Cambria Math" w:eastAsia="Calibri"/>
                  <w:sz w:val="28"/>
                  <w:szCs w:val="28"/>
                  <w:lang w:val="en-US"/>
                </w:rPr>
                <m:rPr>
                  <m:sty m:val="p"/>
                </m:rPr>
                <m:t>b</m:t>
              </m:r>
              <m:r>
                <w:rPr>
                  <w:rFonts w:ascii="Cambria Math" w:hAnsi="Cambria Math" w:eastAsia="Calibri"/>
                  <w:sz w:val="28"/>
                  <w:szCs w:val="28"/>
                </w:rPr>
                <m:rPr>
                  <m:sty m:val="p"/>
                </m:rPr>
                <m:t>тек</m:t>
              </m:r>
            </m:num>
            <m:den>
              <m:r>
                <w:rPr>
                  <w:rFonts w:ascii="Cambria Math" w:hAnsi="Cambria Math" w:eastAsia="Calibri"/>
                  <w:sz w:val="28"/>
                  <w:szCs w:val="28"/>
                </w:rPr>
                <m:rPr/>
                <m:t>(</m:t>
              </m:r>
              <m:r>
                <w:rPr>
                  <w:rFonts w:ascii="Cambria Math" w:hAnsi="Cambria Math" w:eastAsia="Calibri"/>
                  <w:sz w:val="28"/>
                  <w:szCs w:val="28"/>
                  <w:lang w:val="en-US"/>
                </w:rPr>
                <m:rPr>
                  <m:sty m:val="p"/>
                </m:rPr>
                <m:t>n</m:t>
              </m:r>
              <m:r>
                <w:rPr>
                  <w:rFonts w:ascii="Cambria Math" w:hAnsi="Cambria Math" w:eastAsia="Calibri"/>
                  <w:sz w:val="28"/>
                  <w:szCs w:val="28"/>
                </w:rPr>
                <m:rPr/>
                <m:t>+</m:t>
              </m:r>
              <m:f>
                <m:fPr>
                  <m:ctrlPr>
                    <w:rPr>
                      <w:rFonts w:ascii="Cambria Math" w:hAnsi="Cambria Math" w:eastAsia="Calibr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eastAsia="Calibri"/>
                      <w:sz w:val="28"/>
                      <w:szCs w:val="28"/>
                      <w:lang w:val="en-US"/>
                    </w:rPr>
                    <m:rPr>
                      <m:sty m:val="p"/>
                    </m:rPr>
                    <m:t>b</m:t>
                  </m:r>
                </m:num>
                <m:den>
                  <m:r>
                    <w:rPr>
                      <w:rFonts w:ascii="Cambria Math" w:hAnsi="Cambria Math" w:eastAsia="Calibri"/>
                      <w:sz w:val="28"/>
                      <w:szCs w:val="28"/>
                    </w:rPr>
                    <m:rPr/>
                    <m:t>12</m:t>
                  </m:r>
                </m:den>
              </m:f>
              <m:r>
                <w:rPr>
                  <w:rFonts w:ascii="Cambria Math" w:hAnsi="Cambria Math" w:eastAsia="Calibri"/>
                  <w:sz w:val="28"/>
                  <w:szCs w:val="28"/>
                </w:rPr>
                <m:rPr/>
                <m:t>)</m:t>
              </m:r>
            </m:den>
          </m:f>
          <m:r>
            <w:rPr>
              <w:rFonts w:ascii="Cambria Math" w:hAnsi="Cambria Math"/>
              <w:sz w:val="28"/>
              <w:szCs w:val="28"/>
            </w:rPr>
            <m:rPr/>
            <m:t>+</m:t>
          </m:r>
          <m:r>
            <w:rPr>
              <w:rFonts w:ascii="Cambria Math" w:hAnsi="Cambria Math" w:eastAsia="Calibri"/>
              <w:sz w:val="28"/>
              <w:szCs w:val="28"/>
            </w:rPr>
            <m:rPr/>
            <m:t>Дожд</m:t>
          </m:r>
          <m:r>
            <w:rPr>
              <w:rFonts w:ascii="Cambria Math" w:hAnsi="Cambria Math"/>
              <w:sz w:val="28"/>
              <w:szCs w:val="28"/>
            </w:rPr>
            <m:rPr/>
            <m:t>±К, </m:t>
          </m:r>
        </m:oMath>
      </m:oMathPara>
      <w:r/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m:oMathPara>
        <m:oMathParaPr/>
        <m:oMath>
          <m:r>
            <w:rPr>
              <w:rFonts w:ascii="Cambria Math" w:hAnsi="Cambria Math" w:eastAsia="Calibri"/>
              <w:sz w:val="28"/>
              <w:szCs w:val="28"/>
            </w:rPr>
            <m:rPr/>
            <m:t>Доч=</m:t>
          </m:r>
          <m:f>
            <m:fPr>
              <m:ctrlPr>
                <w:rPr>
                  <w:rFonts w:ascii="Cambria Math" w:hAnsi="Cambria Math" w:eastAsia="Calibri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eastAsia="Calibri"/>
                  <w:sz w:val="28"/>
                  <w:szCs w:val="28"/>
                </w:rPr>
                <m:rPr/>
                <m:t>Дт+Д2пр</m:t>
              </m:r>
            </m:num>
            <m:den>
              <m:r>
                <w:rPr>
                  <w:rFonts w:ascii="Cambria Math" w:hAnsi="Cambria Math" w:eastAsia="Calibri"/>
                  <w:sz w:val="28"/>
                  <w:szCs w:val="28"/>
                </w:rPr>
                <m:rPr>
                  <m:sty m:val="p"/>
                </m:rPr>
                <m:t>n</m:t>
              </m:r>
            </m:den>
          </m:f>
          <m:r>
            <w:rPr>
              <w:rFonts w:ascii="Cambria Math" w:hAnsi="Cambria Math"/>
              <w:sz w:val="28"/>
              <w:szCs w:val="28"/>
            </w:rPr>
            <m:rPr/>
            <m:t>+</m:t>
          </m:r>
          <m:r>
            <w:rPr>
              <w:rFonts w:ascii="Cambria Math" w:hAnsi="Cambria Math" w:eastAsia="Calibri"/>
              <w:sz w:val="28"/>
              <w:szCs w:val="28"/>
            </w:rPr>
            <m:rPr/>
            <m:t>Дожд</m:t>
          </m:r>
          <m:r>
            <w:rPr>
              <w:rFonts w:ascii="Cambria Math" w:hAnsi="Cambria Math"/>
              <w:sz w:val="28"/>
              <w:szCs w:val="28"/>
            </w:rPr>
            <m:rPr/>
            <m:t>±К, </m:t>
          </m:r>
        </m:oMath>
      </m:oMathPara>
      <w:r/>
      <w:r>
        <w:rPr>
          <w:sz w:val="28"/>
          <w:szCs w:val="28"/>
        </w:rPr>
      </w:r>
    </w:p>
    <w:p>
      <w:pPr>
        <w:pStyle w:val="842"/>
        <w:ind w:firstLine="709"/>
        <w:jc w:val="both"/>
        <w:spacing w:line="276" w:lineRule="auto"/>
        <w:rPr>
          <w:bCs/>
          <w:sz w:val="28"/>
          <w:szCs w:val="25"/>
        </w:rPr>
      </w:pPr>
      <w:r>
        <w:rPr>
          <w:bCs/>
          <w:sz w:val="28"/>
          <w:szCs w:val="25"/>
        </w:rPr>
        <w:t xml:space="preserve">где:</w:t>
      </w:r>
      <w:r>
        <w:rPr>
          <w:bCs/>
          <w:sz w:val="28"/>
          <w:szCs w:val="25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Theme="majorHAnsi" w:hAnsiTheme="majorHAnsi"/>
          <w:bCs/>
          <w:sz w:val="28"/>
          <w:szCs w:val="28"/>
        </w:rPr>
        <w:t xml:space="preserve">Дт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оценка поступлений в текущем году, тыс. руб.;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Theme="majorHAnsi" w:hAnsiTheme="majorHAnsi"/>
          <w:bCs/>
          <w:sz w:val="28"/>
          <w:szCs w:val="28"/>
        </w:rPr>
        <w:t xml:space="preserve">Доч</w:t>
      </w:r>
      <w:r>
        <w:rPr>
          <w:rFonts w:cs="Times New Roman" w:asciiTheme="majorHAnsi" w:hAnsiTheme="majorHAnsi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– оценка поступлений в очередном финансовом году, тыс. руб.;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Theme="majorHAnsi" w:hAnsiTheme="majorHAnsi" w:cstheme="minorHAnsi"/>
          <w:bCs/>
          <w:sz w:val="28"/>
          <w:szCs w:val="28"/>
        </w:rPr>
        <w:t xml:space="preserve">Д3пр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фактическое поступление за три года, предшествующих текущему году, по данным бюджетной отчетности </w:t>
      </w:r>
      <w:r>
        <w:rPr>
          <w:rFonts w:ascii="Times New Roman" w:hAnsi="Times New Roman" w:cs="Times New Roman"/>
          <w:sz w:val="28"/>
          <w:szCs w:val="28"/>
        </w:rPr>
        <w:t xml:space="preserve">ГКУ НСО ГАНО</w:t>
      </w:r>
      <w:r>
        <w:rPr>
          <w:rFonts w:ascii="Times New Roman" w:hAnsi="Times New Roman" w:cs="Times New Roman"/>
          <w:bCs/>
          <w:sz w:val="28"/>
          <w:szCs w:val="28"/>
        </w:rPr>
        <w:t xml:space="preserve">, тыс. руб.;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Theme="majorHAnsi" w:hAnsiTheme="majorHAnsi" w:cstheme="minorHAnsi"/>
          <w:bCs/>
          <w:sz w:val="28"/>
          <w:szCs w:val="28"/>
        </w:rPr>
        <w:t xml:space="preserve">Д2пр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факти</w:t>
      </w:r>
      <w:r>
        <w:rPr>
          <w:rFonts w:ascii="Times New Roman" w:hAnsi="Times New Roman" w:cs="Times New Roman"/>
          <w:bCs/>
          <w:sz w:val="28"/>
          <w:szCs w:val="28"/>
        </w:rPr>
        <w:t xml:space="preserve">ческое поступление за два года, предшествующих текущему финансовому году, по данным бюджетной отчетности </w:t>
      </w:r>
      <w:r>
        <w:rPr>
          <w:rFonts w:ascii="Times New Roman" w:hAnsi="Times New Roman" w:cs="Times New Roman"/>
          <w:sz w:val="28"/>
          <w:szCs w:val="28"/>
        </w:rPr>
        <w:t xml:space="preserve">ГКУ НСО ГАНО</w:t>
      </w:r>
      <w:r>
        <w:rPr>
          <w:rFonts w:ascii="Times New Roman" w:hAnsi="Times New Roman" w:cs="Times New Roman"/>
          <w:bCs/>
          <w:sz w:val="28"/>
          <w:szCs w:val="28"/>
        </w:rPr>
        <w:t xml:space="preserve">, тыс. руб.;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Theme="majorHAnsi" w:hAnsiTheme="majorHAnsi" w:cstheme="minorHAnsi"/>
          <w:bCs/>
          <w:sz w:val="28"/>
          <w:szCs w:val="28"/>
        </w:rPr>
        <w:t xml:space="preserve">Д</w:t>
      </w:r>
      <w:r>
        <w:rPr>
          <w:rFonts w:asciiTheme="majorHAnsi" w:hAnsiTheme="majorHAnsi" w:cstheme="minorHAnsi"/>
          <w:bCs/>
          <w:sz w:val="28"/>
          <w:szCs w:val="28"/>
          <w:lang w:val="en-US"/>
        </w:rPr>
        <w:t xml:space="preserve">b</w:t>
      </w:r>
      <w:r>
        <w:rPr>
          <w:rFonts w:asciiTheme="majorHAnsi" w:hAnsiTheme="majorHAnsi" w:cstheme="minorHAnsi"/>
          <w:bCs/>
          <w:sz w:val="28"/>
          <w:szCs w:val="28"/>
        </w:rPr>
        <w:t xml:space="preserve">тек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фактическое поступление текущего года, по данным бюджетной отчетности, тыс. руб.;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851"/>
        <w:jc w:val="both"/>
        <w:spacing w:after="1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Theme="majorHAnsi" w:hAnsiTheme="majorHAnsi" w:cstheme="minorHAnsi"/>
          <w:bCs/>
          <w:sz w:val="28"/>
          <w:szCs w:val="28"/>
          <w:lang w:val="en-US"/>
        </w:rPr>
        <w:t xml:space="preserve">n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от 1 до 3 количество лет, предше</w:t>
      </w:r>
      <w:r>
        <w:rPr>
          <w:rFonts w:ascii="Times New Roman" w:hAnsi="Times New Roman" w:cs="Times New Roman"/>
          <w:bCs/>
          <w:sz w:val="28"/>
          <w:szCs w:val="28"/>
        </w:rPr>
        <w:t xml:space="preserve">ствующих прогнозируемому году;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851"/>
        <w:jc w:val="both"/>
        <w:spacing w:after="1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Theme="majorHAnsi" w:hAnsiTheme="majorHAnsi" w:cstheme="minorHAnsi"/>
          <w:bCs/>
          <w:sz w:val="28"/>
          <w:szCs w:val="28"/>
          <w:lang w:val="en-US"/>
        </w:rPr>
        <w:t xml:space="preserve">b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текущего года;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851"/>
        <w:jc w:val="both"/>
        <w:spacing w:after="1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Theme="majorHAnsi" w:hAnsiTheme="majorHAnsi" w:cstheme="minorHAnsi"/>
          <w:bCs/>
          <w:sz w:val="28"/>
          <w:szCs w:val="28"/>
        </w:rPr>
        <w:t xml:space="preserve">Дожд</w:t>
      </w:r>
      <w:r>
        <w:rPr>
          <w:rFonts w:cstheme="minorHAnsi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– ожидаемая сумма дебиторской задолженности, получаемая на основании первичных учетных документов и регистров бюджетного учета отчетности </w:t>
      </w:r>
      <w:r>
        <w:rPr>
          <w:rFonts w:ascii="Times New Roman" w:hAnsi="Times New Roman" w:cs="Times New Roman"/>
          <w:sz w:val="28"/>
          <w:szCs w:val="28"/>
        </w:rPr>
        <w:t xml:space="preserve">ГКУ НСО ГАНО</w:t>
      </w:r>
      <w:r>
        <w:rPr>
          <w:rFonts w:ascii="Times New Roman" w:hAnsi="Times New Roman" w:cs="Times New Roman"/>
          <w:bCs/>
          <w:sz w:val="28"/>
          <w:szCs w:val="28"/>
        </w:rPr>
        <w:t xml:space="preserve">, тыс. руб.;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838"/>
        <w:ind w:firstLine="709"/>
        <w:jc w:val="both"/>
        <w:spacing w:after="120" w:line="276" w:lineRule="auto"/>
        <w:widowControl/>
        <w:rPr>
          <w:bCs/>
          <w:sz w:val="28"/>
          <w:szCs w:val="28"/>
        </w:rPr>
      </w:pPr>
      <w:r>
        <w:rPr>
          <w:rFonts w:asciiTheme="majorHAnsi" w:hAnsiTheme="majorHAnsi"/>
          <w:bCs/>
          <w:sz w:val="28"/>
          <w:szCs w:val="28"/>
        </w:rPr>
        <w:t xml:space="preserve">К</w:t>
      </w:r>
      <w:r>
        <w:rPr>
          <w:bCs/>
          <w:sz w:val="28"/>
          <w:szCs w:val="28"/>
        </w:rPr>
        <w:t xml:space="preserve"> – корректировка с учетом фактических поступлений доходов за истекший период текущего финансового года</w:t>
      </w:r>
      <w:r>
        <w:rPr>
          <w:rFonts w:ascii="Calibri" w:hAnsi="Calibri" w:cs="Calibri"/>
          <w:color w:val="1f497d"/>
          <w:sz w:val="28"/>
          <w:szCs w:val="28"/>
          <w:shd w:val="clear" w:color="auto" w:fill="ffffff"/>
        </w:rPr>
        <w:t xml:space="preserve"> </w:t>
      </w:r>
      <w:r>
        <w:rPr>
          <w:color w:val="1f497d"/>
          <w:sz w:val="28"/>
          <w:szCs w:val="28"/>
          <w:shd w:val="clear" w:color="auto" w:fill="ffffff"/>
        </w:rPr>
        <w:t xml:space="preserve">(</w:t>
      </w:r>
      <w:r>
        <w:rPr>
          <w:sz w:val="28"/>
          <w:szCs w:val="28"/>
          <w:shd w:val="clear" w:color="auto" w:fill="ffffff"/>
        </w:rPr>
        <w:t xml:space="preserve">по согласованию с министерством финансов и налоговой политики Новосибирской области)</w:t>
      </w:r>
      <w:r>
        <w:rPr>
          <w:bCs/>
          <w:sz w:val="28"/>
          <w:szCs w:val="28"/>
        </w:rPr>
        <w:t xml:space="preserve">, тыс. руб. </w:t>
      </w:r>
      <w:r>
        <w:rPr>
          <w:bCs/>
          <w:sz w:val="28"/>
          <w:szCs w:val="28"/>
        </w:rPr>
      </w:r>
    </w:p>
    <w:p>
      <w:pPr>
        <w:rPr>
          <w:sz w:val="28"/>
          <w:szCs w:val="28"/>
          <w:highlight w:val="white"/>
        </w:rPr>
      </w:pPr>
      <w:r/>
      <m:oMathPara>
        <m:oMathParaPr/>
        <m:oMath>
          <m:r>
            <w:rPr>
              <w:rFonts w:ascii="Cambria Math" w:hAnsi="Cambria Math" w:eastAsia="Cambria Math" w:cs="Cambria Math"/>
              <w:sz w:val="28"/>
              <w:szCs w:val="28"/>
            </w:rPr>
            <m:rPr/>
            <m:t>Дт </m:t>
          </m:r>
          <m:d>
            <m:dPr>
              <m:ctrlPr>
                <w:rPr>
                  <w:rFonts w:ascii="Cambria Math" w:hAnsi="Cambria Math" w:eastAsia="Cambria Math" w:cs="Cambria Math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eastAsia="Cambria Math" w:cs="Cambria Math"/>
                  <w:sz w:val="28"/>
                  <w:szCs w:val="28"/>
                </w:rPr>
                <m:rPr/>
                <m:t>2025</m:t>
              </m:r>
            </m:e>
          </m:d>
          <m:r>
            <w:rPr>
              <w:rFonts w:ascii="Cambria Math" w:hAnsi="Cambria Math" w:eastAsia="Cambria Math" w:cs="Cambria Math"/>
              <w:sz w:val="28"/>
              <w:szCs w:val="28"/>
            </w:rPr>
            <m:rPr/>
            <m:t>=</m:t>
          </m:r>
          <m:f>
            <m:fPr>
              <m:ctrlPr>
                <w:rPr>
                  <w:rFonts w:hint="default" w:ascii="Cambria Math" w:hAnsi="Cambria Math" w:eastAsia="Cambria Math" w:cs="Cambria Math"/>
                  <w:sz w:val="28"/>
                  <w:szCs w:val="28"/>
                  <w:highlight w:val="white"/>
                </w:rPr>
              </m:ctrlPr>
            </m:fPr>
            <m:num>
              <m:r>
                <w:rPr>
                  <w:rFonts w:ascii="Cambria Math" w:hAnsi="Cambria Math" w:eastAsia="Cambria Math" w:cs="Cambria Math"/>
                  <w:sz w:val="28"/>
                  <w:szCs w:val="28"/>
                  <w:highlight w:val="white"/>
                </w:rPr>
                <m:rPr/>
                <m:t>2 357,7+</m:t>
              </m:r>
              <m:r>
                <w:rPr>
                  <w:rFonts w:ascii="Cambria Math" w:hAnsi="Cambria Math" w:eastAsia="Cambria Math" w:cs="Cambria Math"/>
                  <w:sz w:val="28"/>
                  <w:szCs w:val="28"/>
                  <w:highlight w:val="white"/>
                </w:rPr>
                <m:rPr/>
                <m:t>2 549,4</m:t>
              </m:r>
              <m:r>
                <w:rPr>
                  <w:rFonts w:ascii="Cambria Math" w:hAnsi="Cambria Math" w:eastAsia="Cambria Math" w:cs="Cambria Math"/>
                  <w:sz w:val="28"/>
                  <w:szCs w:val="28"/>
                  <w:highlight w:val="white"/>
                </w:rPr>
                <m:rPr/>
                <m:t>+2 544,3+2 645,5</m:t>
              </m:r>
            </m:num>
            <m:den>
              <m:d>
                <m:dPr>
                  <m:ctrlPr>
                    <w:rPr>
                      <w:rFonts w:hint="default" w:ascii="Cambria Math" w:hAnsi="Cambria Math" w:eastAsia="Cambria Math" w:cs="Cambria Math"/>
                      <w:sz w:val="28"/>
                      <w:highlight w:val="white"/>
                    </w:rPr>
                  </m:ctrlPr>
                </m:dPr>
                <m:e>
                  <m:r>
                    <w:rPr>
                      <w:rFonts w:ascii="Cambria Math" w:hAnsi="Cambria Math" w:eastAsia="Cambria Math" w:cs="Cambria Math"/>
                      <w:sz w:val="28"/>
                      <w:szCs w:val="28"/>
                      <w:highlight w:val="white"/>
                    </w:rPr>
                    <m:rPr/>
                    <m:t>3+</m:t>
                  </m:r>
                  <m:f>
                    <m:fPr>
                      <m:ctrlPr>
                        <w:rPr>
                          <w:rFonts w:hint="default" w:ascii="Cambria Math" w:hAnsi="Cambria Math" w:eastAsia="Cambria Math" w:cs="Cambria Math"/>
                          <w:sz w:val="28"/>
                          <w:highlight w:val="white"/>
                        </w:rPr>
                      </m:ctrlPr>
                    </m:fPr>
                    <m:num>
                      <m:r>
                        <w:rPr>
                          <w:rFonts w:ascii="Cambria Math" w:hAnsi="Cambria Math" w:eastAsia="Cambria Math" w:cs="Cambria Math"/>
                          <w:sz w:val="28"/>
                          <w:szCs w:val="28"/>
                          <w:highlight w:val="white"/>
                        </w:rPr>
                        <m:rPr/>
                        <m:t>5</m:t>
                      </m:r>
                    </m:num>
                    <m:den>
                      <m:r>
                        <w:rPr>
                          <w:rFonts w:ascii="Cambria Math" w:hAnsi="Cambria Math" w:eastAsia="Cambria Math" w:cs="Cambria Math"/>
                          <w:sz w:val="28"/>
                          <w:szCs w:val="28"/>
                          <w:highlight w:val="white"/>
                        </w:rPr>
                        <m:rPr/>
                        <m:t>12</m:t>
                      </m:r>
                    </m:den>
                  </m:f>
                </m:e>
              </m:d>
            </m:den>
          </m:f>
          <m:r>
            <w:rPr>
              <w:rFonts w:ascii="Cambria Math" w:hAnsi="Cambria Math" w:eastAsia="Cambria Math" w:cs="Cambria Math"/>
              <w:sz w:val="28"/>
              <w:szCs w:val="28"/>
              <w:highlight w:val="white"/>
            </w:rPr>
            <m:rPr/>
            <m:t>=</m:t>
          </m:r>
          <m:r>
            <w:rPr>
              <w:rFonts w:ascii="Cambria Math" w:hAnsi="Cambria Math" w:eastAsia="Cambria Math" w:cs="Cambria Math"/>
              <w:sz w:val="28"/>
              <w:szCs w:val="28"/>
              <w:highlight w:val="white"/>
            </w:rPr>
            <m:rPr/>
            <m:t>2 952,3</m:t>
          </m:r>
          <m:r>
            <w:rPr>
              <w:rFonts w:ascii="Cambria Math" w:hAnsi="Cambria Math" w:eastAsia="Cambria Math" w:cs="Cambria Math"/>
              <w:sz w:val="28"/>
              <w:szCs w:val="28"/>
              <w:highlight w:val="white"/>
            </w:rPr>
            <m:rPr/>
            <m:t> ты</m:t>
          </m:r>
          <m:r>
            <w:rPr>
              <w:rFonts w:ascii="Cambria Math" w:hAnsi="Cambria Math" w:eastAsia="Cambria Math" w:cs="Cambria Math"/>
              <w:sz w:val="28"/>
              <w:szCs w:val="28"/>
              <w:highlight w:val="white"/>
            </w:rPr>
            <m:rPr/>
            <m:t>с. руб.;</m:t>
          </m:r>
        </m:oMath>
      </m:oMathPara>
      <w:r>
        <w:rPr>
          <w:highlight w:val="white"/>
        </w:rPr>
      </w:r>
      <w:r>
        <w:rPr>
          <w:sz w:val="28"/>
          <w:szCs w:val="28"/>
          <w:highlight w:val="white"/>
        </w:rPr>
      </w:r>
    </w:p>
    <w:p>
      <w:pPr>
        <w:rPr>
          <w:highlight w:val="white"/>
        </w:rPr>
      </w:pPr>
      <w:r>
        <w:rPr>
          <w:highlight w:val="white"/>
        </w:rPr>
        <w:t xml:space="preserve">                             </w:t>
      </w:r>
      <m:oMath>
        <m:r>
          <w:rPr>
            <w:rFonts w:ascii="Cambria Math" w:hAnsi="Cambria Math" w:eastAsia="Calibri"/>
            <w:sz w:val="32"/>
            <w:szCs w:val="28"/>
            <w:highlight w:val="white"/>
          </w:rPr>
          <m:rPr/>
          <m:t>Доч </m:t>
        </m:r>
        <m:d>
          <m:dPr>
            <m:ctrlPr>
              <w:rPr>
                <w:rFonts w:hint="default" w:ascii="Cambria Math" w:hAnsi="Cambria Math" w:eastAsia="Cambria Math" w:cs="Cambria Math"/>
                <w:i/>
                <w:sz w:val="32"/>
                <w:szCs w:val="28"/>
                <w:highlight w:val="white"/>
              </w:rPr>
            </m:ctrlPr>
          </m:dPr>
          <m:e>
            <m:r>
              <w:rPr>
                <w:rFonts w:ascii="Cambria Math" w:hAnsi="Cambria Math" w:eastAsia="Calibri"/>
                <w:sz w:val="32"/>
                <w:szCs w:val="28"/>
                <w:highlight w:val="white"/>
              </w:rPr>
              <m:rPr/>
              <m:t>2026</m:t>
            </m:r>
          </m:e>
        </m:d>
        <m:r>
          <w:rPr>
            <w:rFonts w:ascii="Cambria Math" w:hAnsi="Cambria Math" w:eastAsia="Calibri"/>
            <w:sz w:val="32"/>
            <w:szCs w:val="28"/>
            <w:highlight w:val="white"/>
          </w:rPr>
          <m:rPr/>
          <m:t>=</m:t>
        </m:r>
        <m:f>
          <m:fPr>
            <m:ctrlPr>
              <w:rPr>
                <w:rFonts w:hint="default" w:ascii="Cambria Math" w:hAnsi="Cambria Math" w:eastAsia="Cambria Math" w:cs="Cambria Math"/>
                <w:sz w:val="32"/>
                <w:szCs w:val="28"/>
                <w:highlight w:val="white"/>
              </w:rPr>
            </m:ctrlPr>
          </m:fPr>
          <m:num>
            <m:r>
              <w:rPr>
                <w:rFonts w:ascii="Cambria Math" w:hAnsi="Cambria Math" w:eastAsia="Cambria Math" w:cs="Cambria Math"/>
                <w:sz w:val="32"/>
                <w:szCs w:val="28"/>
                <w:highlight w:val="white"/>
              </w:rPr>
              <m:rPr/>
              <m:t>2549,4</m:t>
            </m:r>
            <m:r>
              <w:rPr>
                <w:rFonts w:ascii="Cambria Math" w:hAnsi="Cambria Math" w:eastAsia="Cambria Math" w:cs="Cambria Math"/>
                <w:sz w:val="32"/>
                <w:szCs w:val="28"/>
                <w:highlight w:val="white"/>
              </w:rPr>
              <m:rPr/>
              <m:t>+2544,3+</m:t>
            </m:r>
            <m:r>
              <w:rPr>
                <w:rFonts w:ascii="Cambria Math" w:hAnsi="Cambria Math" w:eastAsia="Cambria Math" w:cs="Cambria Math"/>
                <w:sz w:val="32"/>
                <w:szCs w:val="28"/>
                <w:highlight w:val="white"/>
              </w:rPr>
              <m:rPr/>
              <m:t>2952,3</m:t>
            </m:r>
          </m:num>
          <m:den>
            <m:r>
              <w:rPr>
                <w:rFonts w:ascii="Cambria Math" w:hAnsi="Cambria Math" w:eastAsia="Calibri"/>
                <w:sz w:val="32"/>
                <w:szCs w:val="28"/>
                <w:highlight w:val="white"/>
              </w:rPr>
              <m:rPr>
                <m:sty m:val="p"/>
              </m:rPr>
              <m:t>3</m:t>
            </m:r>
          </m:den>
        </m:f>
        <m:r>
          <w:rPr>
            <w:rFonts w:ascii="Cambria Math" w:hAnsi="Cambria Math" w:eastAsia="Cambria Math" w:cs="Cambria Math"/>
            <w:sz w:val="32"/>
            <w:szCs w:val="28"/>
            <w:highlight w:val="white"/>
          </w:rPr>
          <m:rPr/>
          <m:t>=</m:t>
        </m:r>
        <m:r>
          <w:rPr>
            <w:rFonts w:ascii="Cambria Math" w:hAnsi="Cambria Math" w:eastAsia="Cambria Math" w:cs="Cambria Math"/>
            <w:sz w:val="32"/>
            <w:szCs w:val="28"/>
            <w:highlight w:val="white"/>
          </w:rPr>
          <m:rPr/>
          <m:t>2</m:t>
        </m:r>
        <m:r>
          <w:rPr>
            <w:rFonts w:ascii="Cambria Math" w:hAnsi="Cambria Math" w:eastAsia="Cambria Math" w:cs="Cambria Math"/>
            <w:sz w:val="32"/>
            <w:szCs w:val="28"/>
            <w:highlight w:val="white"/>
          </w:rPr>
          <m:rPr/>
          <m:t> </m:t>
        </m:r>
        <m:r>
          <w:rPr>
            <w:rFonts w:ascii="Cambria Math" w:hAnsi="Cambria Math" w:eastAsia="Cambria Math" w:cs="Cambria Math"/>
            <w:sz w:val="32"/>
            <w:szCs w:val="28"/>
            <w:highlight w:val="white"/>
          </w:rPr>
          <m:rPr/>
          <m:t>682</m:t>
        </m:r>
        <m:r>
          <w:rPr>
            <w:rFonts w:ascii="Cambria Math" w:hAnsi="Cambria Math" w:eastAsia="Cambria Math" w:cs="Cambria Math"/>
            <w:sz w:val="32"/>
            <w:szCs w:val="28"/>
            <w:highlight w:val="white"/>
          </w:rPr>
          <m:rPr/>
          <m:t>,0</m:t>
        </m:r>
        <m:r>
          <w:rPr>
            <w:rFonts w:ascii="Cambria Math" w:hAnsi="Cambria Math" w:eastAsia="Cambria Math" w:cs="Cambria Math"/>
            <w:sz w:val="32"/>
            <w:szCs w:val="28"/>
            <w:highlight w:val="white"/>
          </w:rPr>
          <m:rPr/>
          <m:t> </m:t>
        </m:r>
        <m:r>
          <w:rPr>
            <w:rFonts w:ascii="Cambria Math" w:hAnsi="Cambria Math"/>
            <w:sz w:val="32"/>
            <w:szCs w:val="28"/>
            <w:highlight w:val="white"/>
          </w:rPr>
          <m:rPr/>
          <m:t> тыс. руб.;</m:t>
        </m:r>
      </m:oMath>
      <w:r>
        <w:rPr>
          <w:highlight w:val="white"/>
        </w:rPr>
      </w:r>
      <w:r>
        <w:rPr>
          <w:highlight w:val="white"/>
        </w:rPr>
      </w:r>
    </w:p>
    <w:p>
      <w:pPr>
        <w:rPr>
          <w:rFonts w:eastAsiaTheme="minorEastAsia"/>
          <w:sz w:val="28"/>
          <w:szCs w:val="28"/>
          <w:highlight w:val="white"/>
        </w:rPr>
      </w:pPr>
      <w:r>
        <w:rPr>
          <w:highlight w:val="white"/>
        </w:rPr>
      </w:r>
      <m:oMathPara>
        <m:oMathParaPr/>
        <m:oMath>
          <m:r>
            <w:rPr>
              <w:rFonts w:ascii="Cambria Math" w:hAnsi="Cambria Math" w:eastAsia="Calibri"/>
              <w:sz w:val="28"/>
              <w:szCs w:val="28"/>
              <w:highlight w:val="white"/>
            </w:rPr>
            <m:rPr/>
            <m:t>Доч </m:t>
          </m:r>
          <m:d>
            <m:dPr>
              <m:ctrlPr>
                <w:rPr>
                  <w:rFonts w:hint="default" w:ascii="Cambria Math" w:hAnsi="Cambria Math" w:eastAsia="Cambria Math" w:cs="Cambria Math"/>
                  <w:i/>
                  <w:sz w:val="28"/>
                  <w:szCs w:val="28"/>
                  <w:highlight w:val="white"/>
                </w:rPr>
              </m:ctrlPr>
            </m:dPr>
            <m:e>
              <m:r>
                <w:rPr>
                  <w:rFonts w:ascii="Cambria Math" w:hAnsi="Cambria Math" w:eastAsia="Calibri"/>
                  <w:sz w:val="28"/>
                  <w:szCs w:val="28"/>
                  <w:highlight w:val="white"/>
                </w:rPr>
                <m:rPr/>
                <m:t>2027</m:t>
              </m:r>
            </m:e>
          </m:d>
          <m:r>
            <w:rPr>
              <w:rFonts w:ascii="Cambria Math" w:hAnsi="Cambria Math" w:eastAsia="Calibri"/>
              <w:sz w:val="28"/>
              <w:szCs w:val="28"/>
              <w:highlight w:val="white"/>
            </w:rPr>
            <m:rPr/>
            <m:t>=</m:t>
          </m:r>
          <m:f>
            <m:fPr>
              <m:ctrlPr>
                <w:rPr>
                  <w:rFonts w:hint="default" w:ascii="Cambria Math" w:hAnsi="Cambria Math" w:eastAsia="Cambria Math" w:cs="Cambria Math"/>
                  <w:sz w:val="28"/>
                  <w:szCs w:val="28"/>
                  <w:highlight w:val="white"/>
                </w:rPr>
              </m:ctrlPr>
            </m:fPr>
            <m:num>
              <m:r>
                <w:rPr>
                  <w:rFonts w:ascii="Cambria Math" w:hAnsi="Cambria Math" w:eastAsia="Cambria Math" w:cs="Cambria Math"/>
                  <w:sz w:val="28"/>
                  <w:szCs w:val="28"/>
                  <w:highlight w:val="white"/>
                </w:rPr>
                <m:rPr/>
                <m:t>2 544,3+</m:t>
              </m:r>
              <m:r>
                <w:rPr>
                  <w:rFonts w:ascii="Cambria Math" w:hAnsi="Cambria Math" w:eastAsia="Cambria Math" w:cs="Cambria Math"/>
                  <w:sz w:val="28"/>
                  <w:szCs w:val="28"/>
                  <w:highlight w:val="white"/>
                </w:rPr>
                <m:rPr/>
                <m:t>2 </m:t>
              </m:r>
              <m:r>
                <w:rPr>
                  <w:rFonts w:ascii="Cambria Math" w:hAnsi="Cambria Math" w:eastAsia="Cambria Math" w:cs="Cambria Math"/>
                  <w:sz w:val="28"/>
                  <w:szCs w:val="28"/>
                  <w:highlight w:val="white"/>
                </w:rPr>
                <m:rPr/>
                <m:t>952,3</m:t>
              </m:r>
              <m:r>
                <w:rPr>
                  <w:rFonts w:ascii="Cambria Math" w:hAnsi="Cambria Math" w:eastAsia="Cambria Math" w:cs="Cambria Math"/>
                  <w:sz w:val="28"/>
                  <w:szCs w:val="28"/>
                  <w:highlight w:val="white"/>
                </w:rPr>
                <m:rPr/>
                <m:t>+</m:t>
              </m:r>
              <m:r>
                <w:rPr>
                  <w:rFonts w:ascii="Cambria Math" w:hAnsi="Cambria Math" w:eastAsia="Cambria Math" w:cs="Cambria Math"/>
                  <w:sz w:val="28"/>
                  <w:szCs w:val="28"/>
                  <w:highlight w:val="white"/>
                </w:rPr>
                <m:rPr/>
                <m:t>2 682,0</m:t>
              </m:r>
            </m:num>
            <m:den>
              <m:r>
                <w:rPr>
                  <w:rFonts w:ascii="Cambria Math" w:hAnsi="Cambria Math" w:eastAsia="Calibri"/>
                  <w:sz w:val="28"/>
                  <w:szCs w:val="28"/>
                  <w:highlight w:val="white"/>
                </w:rPr>
                <m:rPr>
                  <m:sty m:val="p"/>
                </m:rPr>
                <m:t>3</m:t>
              </m:r>
            </m:den>
          </m:f>
          <m:r>
            <w:rPr>
              <w:rFonts w:ascii="Cambria Math" w:hAnsi="Cambria Math" w:eastAsia="Cambria Math" w:cs="Cambria Math"/>
              <w:sz w:val="28"/>
              <w:szCs w:val="28"/>
              <w:highlight w:val="white"/>
            </w:rPr>
            <m:rPr/>
            <m:t>=</m:t>
          </m:r>
          <m:r>
            <w:rPr>
              <w:rFonts w:ascii="Cambria Math" w:hAnsi="Cambria Math" w:eastAsia="Cambria Math" w:cs="Cambria Math"/>
              <w:sz w:val="28"/>
              <w:szCs w:val="28"/>
              <w:highlight w:val="white"/>
            </w:rPr>
            <m:rPr/>
            <m:t>2 726,2</m:t>
          </m:r>
          <m:r>
            <w:rPr>
              <w:rFonts w:ascii="Cambria Math" w:hAnsi="Cambria Math" w:eastAsia="Cambria Math" w:cs="Cambria Math"/>
              <w:sz w:val="28"/>
              <w:szCs w:val="28"/>
              <w:highlight w:val="white"/>
            </w:rPr>
            <m:rPr/>
            <m:t> </m:t>
          </m:r>
          <m:r>
            <w:rPr>
              <w:rFonts w:ascii="Cambria Math" w:hAnsi="Cambria Math"/>
              <w:sz w:val="28"/>
              <w:szCs w:val="28"/>
              <w:highlight w:val="white"/>
            </w:rPr>
            <m:rPr/>
            <m:t>тыс. руб.;</m:t>
          </m:r>
        </m:oMath>
      </m:oMathPara>
      <w:r>
        <w:rPr>
          <w:highlight w:val="white"/>
        </w:rPr>
      </w:r>
      <w:r>
        <w:rPr>
          <w:rFonts w:eastAsiaTheme="minorEastAsia"/>
          <w:sz w:val="28"/>
          <w:szCs w:val="28"/>
          <w:highlight w:val="white"/>
        </w:rPr>
      </w:r>
    </w:p>
    <w:p>
      <w:pPr>
        <w:rPr>
          <w:rFonts w:eastAsiaTheme="minorEastAsia"/>
          <w:sz w:val="28"/>
          <w:szCs w:val="28"/>
        </w:rPr>
      </w:pPr>
      <w:r>
        <w:rPr>
          <w:highlight w:val="white"/>
        </w:rPr>
      </w:r>
      <m:oMathPara>
        <m:oMathParaPr/>
        <m:oMath>
          <m:r>
            <w:rPr>
              <w:rFonts w:ascii="Cambria Math" w:hAnsi="Cambria Math" w:eastAsia="Calibri"/>
              <w:sz w:val="28"/>
              <w:szCs w:val="28"/>
              <w:highlight w:val="white"/>
            </w:rPr>
            <m:rPr/>
            <m:t>Доч </m:t>
          </m:r>
          <m:d>
            <m:dPr>
              <m:ctrlPr>
                <w:rPr>
                  <w:rFonts w:hint="default" w:ascii="Cambria Math" w:hAnsi="Cambria Math" w:eastAsia="Cambria Math" w:cs="Cambria Math"/>
                  <w:i/>
                  <w:sz w:val="28"/>
                  <w:szCs w:val="28"/>
                  <w:highlight w:val="white"/>
                </w:rPr>
              </m:ctrlPr>
            </m:dPr>
            <m:e>
              <m:r>
                <w:rPr>
                  <w:rFonts w:ascii="Cambria Math" w:hAnsi="Cambria Math" w:eastAsia="Calibri"/>
                  <w:sz w:val="28"/>
                  <w:szCs w:val="28"/>
                  <w:highlight w:val="white"/>
                </w:rPr>
                <m:rPr/>
                <m:t>2028</m:t>
              </m:r>
            </m:e>
          </m:d>
          <m:r>
            <w:rPr>
              <w:rFonts w:ascii="Cambria Math" w:hAnsi="Cambria Math" w:eastAsia="Calibri"/>
              <w:sz w:val="28"/>
              <w:szCs w:val="28"/>
              <w:highlight w:val="white"/>
            </w:rPr>
            <m:rPr/>
            <m:t>=</m:t>
          </m:r>
          <m:f>
            <m:fPr>
              <m:ctrlPr>
                <w:rPr>
                  <w:rFonts w:hint="default" w:ascii="Cambria Math" w:hAnsi="Cambria Math" w:eastAsia="Cambria Math" w:cs="Cambria Math"/>
                  <w:sz w:val="28"/>
                  <w:szCs w:val="28"/>
                  <w:highlight w:val="white"/>
                </w:rPr>
              </m:ctrlPr>
            </m:fPr>
            <m:num>
              <m:r>
                <w:rPr>
                  <w:rFonts w:ascii="Cambria Math" w:hAnsi="Cambria Math" w:eastAsia="Cambria Math" w:cs="Cambria Math"/>
                  <w:sz w:val="28"/>
                  <w:szCs w:val="28"/>
                  <w:highlight w:val="white"/>
                </w:rPr>
                <m:rPr/>
                <m:t>2 </m:t>
              </m:r>
              <m:r>
                <w:rPr>
                  <w:rFonts w:ascii="Cambria Math" w:hAnsi="Cambria Math" w:eastAsia="Cambria Math" w:cs="Cambria Math"/>
                  <w:sz w:val="28"/>
                  <w:szCs w:val="28"/>
                  <w:highlight w:val="white"/>
                </w:rPr>
                <m:rPr/>
                <m:t>952,3</m:t>
              </m:r>
              <m:r>
                <w:rPr>
                  <w:rFonts w:ascii="Cambria Math" w:hAnsi="Cambria Math" w:eastAsia="Cambria Math" w:cs="Cambria Math"/>
                  <w:sz w:val="28"/>
                  <w:szCs w:val="28"/>
                  <w:highlight w:val="white"/>
                </w:rPr>
                <m:rPr/>
                <m:t>+2682,0</m:t>
              </m:r>
              <m:r>
                <w:rPr>
                  <w:rFonts w:ascii="Cambria Math" w:hAnsi="Cambria Math" w:eastAsia="Cambria Math" w:cs="Cambria Math"/>
                  <w:sz w:val="28"/>
                  <w:szCs w:val="28"/>
                  <w:highlight w:val="white"/>
                </w:rPr>
                <m:rPr/>
                <m:t>+2 </m:t>
              </m:r>
              <m:r>
                <w:rPr>
                  <w:rFonts w:ascii="Cambria Math" w:hAnsi="Cambria Math" w:eastAsia="Cambria Math" w:cs="Cambria Math"/>
                  <w:sz w:val="28"/>
                  <w:szCs w:val="28"/>
                  <w:highlight w:val="white"/>
                </w:rPr>
                <m:rPr/>
                <m:t>726,2</m:t>
              </m:r>
            </m:num>
            <m:den>
              <m:r>
                <w:rPr>
                  <w:rFonts w:ascii="Cambria Math" w:hAnsi="Cambria Math" w:eastAsia="Calibri"/>
                  <w:sz w:val="28"/>
                  <w:szCs w:val="28"/>
                  <w:highlight w:val="white"/>
                </w:rPr>
                <m:rPr>
                  <m:sty m:val="p"/>
                </m:rPr>
                <m:t>3</m:t>
              </m:r>
            </m:den>
          </m:f>
          <m:r>
            <w:rPr>
              <w:rFonts w:ascii="Cambria Math" w:hAnsi="Cambria Math" w:eastAsia="Cambria Math" w:cs="Cambria Math"/>
              <w:sz w:val="28"/>
              <w:szCs w:val="28"/>
              <w:highlight w:val="white"/>
            </w:rPr>
            <m:rPr/>
            <m:t>=2 786,</m:t>
          </m:r>
          <m:r>
            <w:rPr>
              <w:rFonts w:ascii="Cambria Math" w:hAnsi="Cambria Math" w:eastAsia="Cambria Math" w:cs="Cambria Math"/>
              <w:sz w:val="28"/>
              <w:szCs w:val="28"/>
              <w:highlight w:val="white"/>
            </w:rPr>
            <m:rPr/>
            <m:t>8</m:t>
          </m:r>
          <m:r>
            <w:rPr>
              <w:rFonts w:ascii="Cambria Math" w:hAnsi="Cambria Math"/>
              <w:sz w:val="28"/>
              <w:szCs w:val="28"/>
              <w:highlight w:val="white"/>
            </w:rPr>
            <m:rPr/>
            <m:t> </m:t>
          </m:r>
          <m:r>
            <w:rPr>
              <w:rFonts w:ascii="Cambria Math" w:hAnsi="Cambria Math"/>
              <w:sz w:val="28"/>
              <w:szCs w:val="28"/>
            </w:rPr>
            <m:rPr/>
            <m:t>тыс. руб. </m:t>
          </m:r>
        </m:oMath>
      </m:oMathPara>
      <w:r/>
      <w:bookmarkStart w:id="0" w:name="_GoBack"/>
      <w:r/>
      <w:bookmarkEnd w:id="0"/>
      <w:r/>
      <w:r>
        <w:rPr>
          <w:rFonts w:eastAsiaTheme="minorEastAsia"/>
          <w:sz w:val="28"/>
          <w:szCs w:val="28"/>
        </w:rPr>
      </w:r>
    </w:p>
    <w:p>
      <w:pPr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</w:r>
      <w:r>
        <w:rPr>
          <w:rFonts w:eastAsiaTheme="minorEastAsia"/>
          <w:sz w:val="28"/>
          <w:szCs w:val="28"/>
        </w:rPr>
      </w:r>
    </w:p>
    <w:p>
      <w:pPr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коду доходов </w:t>
      </w:r>
      <w:r>
        <w:rPr>
          <w:rFonts w:ascii="Times New Roman" w:hAnsi="Times New Roman" w:cs="Times New Roman"/>
          <w:b/>
          <w:sz w:val="28"/>
          <w:szCs w:val="28"/>
        </w:rPr>
        <w:t xml:space="preserve">046 1 13 02992 02 0000 130</w:t>
      </w:r>
      <w:r>
        <w:rPr>
          <w:rFonts w:ascii="Times New Roman" w:hAnsi="Times New Roman" w:cs="Times New Roman"/>
          <w:sz w:val="28"/>
          <w:szCs w:val="28"/>
        </w:rPr>
        <w:t xml:space="preserve"> «Прочие доходы от компенсации затрат бюджетов субъектов Российской Федерации» план на 2025 год утвержден в сумме 1 126,9 тыс. руб., фактическое исполнение за 5 месяцев 2025 года составило 277,2 тыс. руб. или 24,6% от годовых назначений. Ожидаемое поступле</w:t>
      </w:r>
      <w:r>
        <w:rPr>
          <w:rFonts w:ascii="Times New Roman" w:hAnsi="Times New Roman" w:cs="Times New Roman"/>
          <w:sz w:val="28"/>
          <w:szCs w:val="28"/>
        </w:rPr>
        <w:t xml:space="preserve">ние в 2025 году составляет 1 085,7 тыс. руб.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Оценка поступлений текущего года основывается на фактическом поступлении доходов за текущий период и 3 года, предшествующих году, в котором осуществляется планирование.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eastAsia="Calibri" w:cs="Times New Roman"/>
          <w:sz w:val="28"/>
          <w:szCs w:val="28"/>
        </w:rPr>
      </w:pPr>
      <w:r>
        <w:rPr>
          <w:rFonts w:ascii="Times New Roman" w:hAnsi="Times New Roman" w:eastAsia="Calibri" w:cs="Times New Roman"/>
          <w:sz w:val="28"/>
          <w:szCs w:val="28"/>
        </w:rPr>
        <w:t xml:space="preserve">При расчете поступлений на очередной финан</w:t>
      </w:r>
      <w:r>
        <w:rPr>
          <w:rFonts w:ascii="Times New Roman" w:hAnsi="Times New Roman" w:eastAsia="Calibri" w:cs="Times New Roman"/>
          <w:sz w:val="28"/>
          <w:szCs w:val="28"/>
        </w:rPr>
        <w:t xml:space="preserve">совый год учитывается среднее арифметическое поступление доходов не менее чем за три года.</w:t>
      </w:r>
      <w:r>
        <w:rPr>
          <w:rFonts w:ascii="Times New Roman" w:hAnsi="Times New Roman" w:eastAsia="Calibri" w:cs="Times New Roman"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Прогнозируемый объем поступлений на плановый период принимается равным прогнозируемому объему поступлений на очередной финансовый год.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44"/>
        <w:ind w:firstLine="709"/>
        <w:spacing w:after="120" w:line="276" w:lineRule="auto"/>
        <w:widowControl/>
        <w:rPr>
          <w:rStyle w:val="840"/>
          <w:sz w:val="28"/>
          <w:szCs w:val="28"/>
        </w:rPr>
      </w:pPr>
      <w:r>
        <w:rPr>
          <w:rStyle w:val="840"/>
          <w:sz w:val="28"/>
          <w:szCs w:val="28"/>
        </w:rPr>
        <w:t xml:space="preserve">Сумма прочих доходов от компен</w:t>
      </w:r>
      <w:r>
        <w:rPr>
          <w:rStyle w:val="840"/>
          <w:sz w:val="28"/>
          <w:szCs w:val="28"/>
        </w:rPr>
        <w:t xml:space="preserve">сации затрат, прогнозируемая к поступлению в расчетном году рассчитывается по формуле:</w:t>
      </w:r>
      <w:r>
        <w:rPr>
          <w:rStyle w:val="840"/>
          <w:sz w:val="28"/>
          <w:szCs w:val="28"/>
        </w:rPr>
      </w:r>
    </w:p>
    <w:p>
      <w:pPr>
        <w:rPr>
          <w:sz w:val="28"/>
          <w:szCs w:val="28"/>
        </w:rPr>
      </w:pPr>
      <w:r/>
      <m:oMathPara>
        <m:oMathParaPr/>
        <m:oMath>
          <m:r>
            <w:rPr>
              <w:rFonts w:ascii="Cambria Math" w:hAnsi="Cambria Math" w:eastAsia="Calibri"/>
              <w:sz w:val="28"/>
              <w:szCs w:val="28"/>
            </w:rPr>
            <m:rPr/>
            <m:t>Дт=</m:t>
          </m:r>
          <m:f>
            <m:fPr>
              <m:ctrlPr>
                <w:rPr>
                  <w:rFonts w:ascii="Cambria Math" w:hAnsi="Cambria Math" w:eastAsia="Calibri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eastAsia="Calibri"/>
                  <w:sz w:val="28"/>
                  <w:szCs w:val="28"/>
                </w:rPr>
                <m:rPr/>
                <m:t>Д3пр+Д</m:t>
              </m:r>
              <m:r>
                <w:rPr>
                  <w:rFonts w:ascii="Cambria Math" w:hAnsi="Cambria Math" w:eastAsia="Calibri"/>
                  <w:sz w:val="28"/>
                  <w:szCs w:val="28"/>
                  <w:lang w:val="en-US"/>
                </w:rPr>
                <m:rPr>
                  <m:sty m:val="p"/>
                </m:rPr>
                <m:t>b</m:t>
              </m:r>
              <m:r>
                <w:rPr>
                  <w:rFonts w:ascii="Cambria Math" w:hAnsi="Cambria Math" w:eastAsia="Calibri"/>
                  <w:sz w:val="28"/>
                  <w:szCs w:val="28"/>
                </w:rPr>
                <m:rPr>
                  <m:sty m:val="p"/>
                </m:rPr>
                <m:t>тек</m:t>
              </m:r>
            </m:num>
            <m:den>
              <m:r>
                <w:rPr>
                  <w:rFonts w:ascii="Cambria Math" w:hAnsi="Cambria Math" w:eastAsia="Calibri"/>
                  <w:sz w:val="28"/>
                  <w:szCs w:val="28"/>
                </w:rPr>
                <m:rPr/>
                <m:t>(</m:t>
              </m:r>
              <m:r>
                <w:rPr>
                  <w:rFonts w:ascii="Cambria Math" w:hAnsi="Cambria Math" w:eastAsia="Calibri"/>
                  <w:sz w:val="28"/>
                  <w:szCs w:val="28"/>
                  <w:lang w:val="en-US"/>
                </w:rPr>
                <m:rPr>
                  <m:sty m:val="p"/>
                </m:rPr>
                <m:t>n</m:t>
              </m:r>
              <m:r>
                <w:rPr>
                  <w:rFonts w:ascii="Cambria Math" w:hAnsi="Cambria Math" w:eastAsia="Calibri"/>
                  <w:sz w:val="28"/>
                  <w:szCs w:val="28"/>
                </w:rPr>
                <m:rPr/>
                <m:t>+</m:t>
              </m:r>
              <m:f>
                <m:fPr>
                  <m:ctrlPr>
                    <w:rPr>
                      <w:rFonts w:ascii="Cambria Math" w:hAnsi="Cambria Math" w:eastAsia="Calibr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eastAsia="Calibri"/>
                      <w:sz w:val="28"/>
                      <w:szCs w:val="28"/>
                      <w:lang w:val="en-US"/>
                    </w:rPr>
                    <m:rPr>
                      <m:sty m:val="p"/>
                    </m:rPr>
                    <m:t>b</m:t>
                  </m:r>
                </m:num>
                <m:den>
                  <m:r>
                    <w:rPr>
                      <w:rFonts w:ascii="Cambria Math" w:hAnsi="Cambria Math" w:eastAsia="Calibri"/>
                      <w:sz w:val="28"/>
                      <w:szCs w:val="28"/>
                    </w:rPr>
                    <m:rPr/>
                    <m:t>12</m:t>
                  </m:r>
                </m:den>
              </m:f>
              <m:r>
                <w:rPr>
                  <w:rFonts w:ascii="Cambria Math" w:hAnsi="Cambria Math" w:eastAsia="Calibri"/>
                  <w:sz w:val="28"/>
                  <w:szCs w:val="28"/>
                </w:rPr>
                <m:rPr/>
                <m:t>)</m:t>
              </m:r>
            </m:den>
          </m:f>
          <m:r>
            <w:rPr>
              <w:rFonts w:ascii="Cambria Math" w:hAnsi="Cambria Math"/>
              <w:sz w:val="28"/>
              <w:szCs w:val="28"/>
            </w:rPr>
            <m:rPr/>
            <m:t>+</m:t>
          </m:r>
          <m:r>
            <w:rPr>
              <w:rFonts w:ascii="Cambria Math" w:hAnsi="Cambria Math" w:eastAsia="Calibri"/>
              <w:sz w:val="28"/>
              <w:szCs w:val="28"/>
            </w:rPr>
            <m:rPr/>
            <m:t>Дожд</m:t>
          </m:r>
          <m:r>
            <w:rPr>
              <w:rFonts w:ascii="Cambria Math" w:hAnsi="Cambria Math"/>
              <w:sz w:val="28"/>
              <w:szCs w:val="28"/>
            </w:rPr>
            <m:rPr/>
            <m:t>±К, </m:t>
          </m:r>
        </m:oMath>
      </m:oMathPara>
      <w:r/>
      <w:r>
        <w:rPr>
          <w:sz w:val="28"/>
          <w:szCs w:val="28"/>
        </w:rPr>
      </w:r>
    </w:p>
    <w:p>
      <w:pPr>
        <w:rPr>
          <w:sz w:val="28"/>
          <w:szCs w:val="28"/>
        </w:rPr>
      </w:pPr>
      <w:r/>
      <m:oMathPara>
        <m:oMathParaPr/>
        <m:oMath>
          <m:r>
            <w:rPr>
              <w:rFonts w:ascii="Cambria Math" w:hAnsi="Cambria Math" w:eastAsia="Calibri"/>
              <w:sz w:val="28"/>
              <w:szCs w:val="28"/>
            </w:rPr>
            <m:rPr/>
            <m:t>Доч=</m:t>
          </m:r>
          <m:f>
            <m:fPr>
              <m:ctrlPr>
                <w:rPr>
                  <w:rFonts w:ascii="Cambria Math" w:hAnsi="Cambria Math" w:eastAsia="Calibri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eastAsia="Calibri"/>
                  <w:sz w:val="28"/>
                  <w:szCs w:val="28"/>
                </w:rPr>
                <m:rPr/>
                <m:t>Дт+Д2пр</m:t>
              </m:r>
            </m:num>
            <m:den>
              <m:r>
                <w:rPr>
                  <w:rFonts w:ascii="Cambria Math" w:hAnsi="Cambria Math" w:eastAsia="Calibri"/>
                  <w:sz w:val="28"/>
                  <w:szCs w:val="28"/>
                </w:rPr>
                <m:rPr>
                  <m:sty m:val="p"/>
                </m:rPr>
                <m:t>n</m:t>
              </m:r>
            </m:den>
          </m:f>
          <m:r>
            <w:rPr>
              <w:rFonts w:ascii="Cambria Math" w:hAnsi="Cambria Math"/>
              <w:sz w:val="28"/>
              <w:szCs w:val="28"/>
            </w:rPr>
            <m:rPr/>
            <m:t>+</m:t>
          </m:r>
          <m:r>
            <w:rPr>
              <w:rFonts w:ascii="Cambria Math" w:hAnsi="Cambria Math" w:eastAsia="Calibri"/>
              <w:sz w:val="28"/>
              <w:szCs w:val="28"/>
            </w:rPr>
            <m:rPr/>
            <m:t>Дожд</m:t>
          </m:r>
          <m:r>
            <w:rPr>
              <w:rFonts w:ascii="Cambria Math" w:hAnsi="Cambria Math"/>
              <w:sz w:val="28"/>
              <w:szCs w:val="28"/>
            </w:rPr>
            <m:rPr/>
            <m:t>±К,</m:t>
          </m:r>
        </m:oMath>
      </m:oMathPara>
      <w:r/>
      <w:r>
        <w:rPr>
          <w:sz w:val="28"/>
          <w:szCs w:val="28"/>
        </w:rPr>
      </w:r>
    </w:p>
    <w:p>
      <w:pPr>
        <w:pStyle w:val="842"/>
        <w:ind w:firstLine="709"/>
        <w:jc w:val="both"/>
        <w:spacing w:line="276" w:lineRule="auto"/>
        <w:rPr>
          <w:bCs/>
          <w:sz w:val="28"/>
          <w:szCs w:val="25"/>
        </w:rPr>
      </w:pPr>
      <w:r>
        <w:rPr>
          <w:bCs/>
          <w:sz w:val="28"/>
          <w:szCs w:val="25"/>
        </w:rPr>
        <w:t xml:space="preserve">где:</w:t>
      </w:r>
      <w:r>
        <w:rPr>
          <w:bCs/>
          <w:sz w:val="28"/>
          <w:szCs w:val="25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Theme="majorHAnsi" w:hAnsiTheme="majorHAnsi"/>
          <w:bCs/>
          <w:sz w:val="28"/>
          <w:szCs w:val="28"/>
        </w:rPr>
        <w:t xml:space="preserve">Дт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оценка поступлений в текущем году, тыс. руб.;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Theme="majorHAnsi" w:hAnsiTheme="majorHAnsi"/>
          <w:bCs/>
          <w:sz w:val="28"/>
          <w:szCs w:val="28"/>
        </w:rPr>
        <w:t xml:space="preserve">Доч</w:t>
      </w:r>
      <w:r>
        <w:rPr>
          <w:rFonts w:cs="Times New Roman" w:asciiTheme="majorHAnsi" w:hAnsiTheme="majorHAnsi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– оценка поступлений в очередном финансовом году, </w:t>
      </w:r>
      <w:r>
        <w:rPr>
          <w:rFonts w:ascii="Times New Roman" w:hAnsi="Times New Roman" w:cs="Times New Roman"/>
          <w:bCs/>
          <w:sz w:val="28"/>
          <w:szCs w:val="28"/>
        </w:rPr>
        <w:t xml:space="preserve">тыс.руб</w:t>
      </w:r>
      <w:r>
        <w:rPr>
          <w:rFonts w:ascii="Times New Roman" w:hAnsi="Times New Roman" w:cs="Times New Roman"/>
          <w:bCs/>
          <w:sz w:val="28"/>
          <w:szCs w:val="28"/>
        </w:rPr>
        <w:t xml:space="preserve">.;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Theme="majorHAnsi" w:hAnsiTheme="majorHAnsi"/>
          <w:bCs/>
          <w:sz w:val="28"/>
          <w:szCs w:val="28"/>
        </w:rPr>
        <w:t xml:space="preserve">Д3пр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фактическое поступление за три года, предшествующих текущему году, по данным бюджетной отчетности </w:t>
      </w:r>
      <w:r>
        <w:rPr>
          <w:rFonts w:ascii="Times New Roman" w:hAnsi="Times New Roman" w:cs="Times New Roman"/>
          <w:sz w:val="28"/>
          <w:szCs w:val="28"/>
        </w:rPr>
        <w:t xml:space="preserve">ГКУ НСО ГАНО</w:t>
      </w:r>
      <w:r>
        <w:rPr>
          <w:rFonts w:ascii="Times New Roman" w:hAnsi="Times New Roman" w:cs="Times New Roman"/>
          <w:bCs/>
          <w:sz w:val="28"/>
          <w:szCs w:val="28"/>
        </w:rPr>
        <w:t xml:space="preserve">, тыс. руб.;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Theme="majorHAnsi" w:hAnsiTheme="majorHAnsi"/>
          <w:bCs/>
          <w:sz w:val="28"/>
          <w:szCs w:val="28"/>
        </w:rPr>
        <w:t xml:space="preserve">Д2пр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фактическое поступление за два года, предшествующих текущему финансовому году, по данным бюджетной отчетности </w:t>
      </w:r>
      <w:r>
        <w:rPr>
          <w:rFonts w:ascii="Times New Roman" w:hAnsi="Times New Roman" w:cs="Times New Roman"/>
          <w:sz w:val="28"/>
          <w:szCs w:val="28"/>
        </w:rPr>
        <w:t xml:space="preserve">ГКУ НС</w:t>
      </w:r>
      <w:r>
        <w:rPr>
          <w:rFonts w:ascii="Times New Roman" w:hAnsi="Times New Roman" w:cs="Times New Roman"/>
          <w:sz w:val="28"/>
          <w:szCs w:val="28"/>
        </w:rPr>
        <w:t xml:space="preserve">О ГАНО</w:t>
      </w:r>
      <w:r>
        <w:rPr>
          <w:rFonts w:ascii="Times New Roman" w:hAnsi="Times New Roman" w:cs="Times New Roman"/>
          <w:bCs/>
          <w:sz w:val="28"/>
          <w:szCs w:val="28"/>
        </w:rPr>
        <w:t xml:space="preserve">, тыс. руб.;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Theme="majorHAnsi" w:hAnsiTheme="majorHAnsi"/>
          <w:bCs/>
          <w:sz w:val="28"/>
          <w:szCs w:val="28"/>
        </w:rPr>
        <w:t xml:space="preserve">Д</w:t>
      </w:r>
      <w:r>
        <w:rPr>
          <w:rFonts w:cs="Times New Roman" w:asciiTheme="majorHAnsi" w:hAnsiTheme="majorHAnsi"/>
          <w:bCs/>
          <w:sz w:val="28"/>
          <w:szCs w:val="28"/>
          <w:lang w:val="en-US"/>
        </w:rPr>
        <w:t xml:space="preserve">b</w:t>
      </w:r>
      <w:r>
        <w:rPr>
          <w:rFonts w:cs="Times New Roman" w:asciiTheme="majorHAnsi" w:hAnsiTheme="majorHAnsi"/>
          <w:bCs/>
          <w:sz w:val="28"/>
          <w:szCs w:val="28"/>
        </w:rPr>
        <w:t xml:space="preserve">тек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фактическое поступление текущего года, по данным бюджетной отчетности, тыс. руб.;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851"/>
        <w:jc w:val="both"/>
        <w:spacing w:after="1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Theme="majorHAnsi" w:hAnsiTheme="majorHAnsi"/>
          <w:bCs/>
          <w:sz w:val="28"/>
          <w:szCs w:val="28"/>
          <w:lang w:val="en-US"/>
        </w:rPr>
        <w:t xml:space="preserve">n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от 1 до 3 количество лет, предшествующих прогнозируемому году;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851"/>
        <w:jc w:val="both"/>
        <w:spacing w:after="1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Theme="majorHAnsi" w:hAnsiTheme="majorHAnsi"/>
          <w:bCs/>
          <w:sz w:val="28"/>
          <w:szCs w:val="28"/>
          <w:lang w:val="en-US"/>
        </w:rPr>
        <w:t xml:space="preserve">b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количество месяцев текущего года;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ind w:firstLine="851"/>
        <w:jc w:val="both"/>
        <w:spacing w:after="120"/>
        <w:rPr>
          <w:rFonts w:ascii="Times New Roman" w:hAnsi="Times New Roman" w:cs="Times New Roman"/>
          <w:bCs/>
          <w:sz w:val="28"/>
          <w:szCs w:val="28"/>
        </w:rPr>
      </w:pPr>
      <w:r>
        <w:rPr>
          <w:rFonts w:cs="Times New Roman" w:asciiTheme="majorHAnsi" w:hAnsiTheme="majorHAnsi"/>
          <w:bCs/>
          <w:sz w:val="28"/>
          <w:szCs w:val="28"/>
        </w:rPr>
        <w:t xml:space="preserve">Дожд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ожидаемая сумма дебиторско</w:t>
      </w:r>
      <w:r>
        <w:rPr>
          <w:rFonts w:ascii="Times New Roman" w:hAnsi="Times New Roman" w:cs="Times New Roman"/>
          <w:bCs/>
          <w:sz w:val="28"/>
          <w:szCs w:val="28"/>
        </w:rPr>
        <w:t xml:space="preserve">й задолженности, получаемая на основании первичных учетных документов и регистров бюджетного учета отчетности </w:t>
      </w:r>
      <w:r>
        <w:rPr>
          <w:rFonts w:ascii="Times New Roman" w:hAnsi="Times New Roman" w:cs="Times New Roman"/>
          <w:sz w:val="28"/>
          <w:szCs w:val="28"/>
        </w:rPr>
        <w:t xml:space="preserve">ГКУ НСО ГАНО</w:t>
      </w:r>
      <w:r>
        <w:rPr>
          <w:rFonts w:ascii="Times New Roman" w:hAnsi="Times New Roman" w:cs="Times New Roman"/>
          <w:bCs/>
          <w:sz w:val="28"/>
          <w:szCs w:val="28"/>
        </w:rPr>
        <w:t xml:space="preserve">, тыс. руб.;</w:t>
      </w:r>
      <w:r>
        <w:rPr>
          <w:rFonts w:ascii="Times New Roman" w:hAnsi="Times New Roman" w:cs="Times New Roman"/>
          <w:bCs/>
          <w:sz w:val="28"/>
          <w:szCs w:val="28"/>
        </w:rPr>
      </w:r>
    </w:p>
    <w:p>
      <w:pPr>
        <w:pStyle w:val="838"/>
        <w:ind w:firstLine="709"/>
        <w:jc w:val="both"/>
        <w:spacing w:after="120" w:line="276" w:lineRule="auto"/>
        <w:widowControl/>
        <w:rPr>
          <w:bCs/>
          <w:sz w:val="28"/>
          <w:szCs w:val="28"/>
        </w:rPr>
      </w:pPr>
      <w:r>
        <w:rPr>
          <w:rFonts w:asciiTheme="majorHAnsi" w:hAnsiTheme="majorHAnsi"/>
          <w:bCs/>
          <w:sz w:val="28"/>
          <w:szCs w:val="28"/>
        </w:rPr>
        <w:t xml:space="preserve">К</w:t>
      </w:r>
      <w:r>
        <w:rPr>
          <w:bCs/>
          <w:sz w:val="28"/>
          <w:szCs w:val="28"/>
        </w:rPr>
        <w:t xml:space="preserve"> – корректировка с учетом фактических поступлений доходов за истекший период текущего финансового года</w:t>
      </w:r>
      <w:r>
        <w:rPr>
          <w:rFonts w:ascii="Calibri" w:hAnsi="Calibri" w:cs="Calibri"/>
          <w:color w:val="1f497d"/>
          <w:sz w:val="28"/>
          <w:szCs w:val="28"/>
          <w:shd w:val="clear" w:color="auto" w:fill="ffffff"/>
        </w:rPr>
        <w:t xml:space="preserve"> </w:t>
      </w:r>
      <w:r>
        <w:rPr>
          <w:color w:val="1f497d"/>
          <w:sz w:val="28"/>
          <w:szCs w:val="28"/>
          <w:shd w:val="clear" w:color="auto" w:fill="ffffff"/>
        </w:rPr>
        <w:t xml:space="preserve">(</w:t>
      </w:r>
      <w:r>
        <w:rPr>
          <w:sz w:val="28"/>
          <w:szCs w:val="28"/>
          <w:shd w:val="clear" w:color="auto" w:fill="ffffff"/>
        </w:rPr>
        <w:t xml:space="preserve">по согласованию </w:t>
      </w:r>
      <w:r>
        <w:rPr>
          <w:sz w:val="28"/>
          <w:szCs w:val="28"/>
          <w:shd w:val="clear" w:color="auto" w:fill="ffffff"/>
        </w:rPr>
        <w:t xml:space="preserve">с министерством финансов и налоговой политики Новосибирской области)</w:t>
      </w:r>
      <w:r>
        <w:rPr>
          <w:bCs/>
          <w:sz w:val="28"/>
          <w:szCs w:val="28"/>
        </w:rPr>
        <w:t xml:space="preserve">, тыс. руб.</w:t>
      </w:r>
      <w:r>
        <w:rPr>
          <w:bCs/>
          <w:sz w:val="28"/>
          <w:szCs w:val="28"/>
        </w:rPr>
      </w:r>
    </w:p>
    <w:p>
      <w:pPr>
        <w:rPr>
          <w:sz w:val="28"/>
          <w:szCs w:val="28"/>
        </w:rPr>
      </w:pPr>
      <w:r/>
      <m:oMathPara>
        <m:oMathParaPr/>
        <m:oMath>
          <m:r>
            <w:rPr>
              <w:rFonts w:ascii="Cambria Math" w:hAnsi="Cambria Math" w:eastAsia="Calibri"/>
              <w:sz w:val="28"/>
              <w:szCs w:val="28"/>
            </w:rPr>
            <m:rPr/>
            <m:t>Дт </m:t>
          </m:r>
          <m:d>
            <m:dPr>
              <m:ctrlPr>
                <w:rPr>
                  <w:rFonts w:ascii="Cambria Math" w:hAnsi="Cambria Math" w:eastAsia="Calibr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eastAsia="Calibri"/>
                  <w:sz w:val="28"/>
                  <w:szCs w:val="28"/>
                </w:rPr>
                <m:rPr/>
                <m:t>2025</m:t>
              </m:r>
            </m:e>
          </m:d>
          <m:r>
            <w:rPr>
              <w:rFonts w:ascii="Cambria Math" w:hAnsi="Cambria Math" w:eastAsia="Calibri"/>
              <w:sz w:val="28"/>
              <w:szCs w:val="28"/>
            </w:rPr>
            <m:rPr/>
            <m:t>=</m:t>
          </m:r>
          <m:f>
            <m:fPr>
              <m:ctrlPr>
                <w:rPr>
                  <w:rFonts w:ascii="Cambria Math" w:hAnsi="Cambria Math" w:eastAsia="Calibri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eastAsia="Cambria Math" w:cs="Cambria Math"/>
                </w:rPr>
                <m:rPr/>
                <m:t>1 200,2+1070,7+1171,0+277,2</m:t>
              </m:r>
            </m:num>
            <m:den>
              <m:d>
                <m:dPr>
                  <m:ctrlPr>
                    <w:rPr>
                      <w:rFonts w:ascii="Cambria Math" w:hAnsi="Cambria Math" w:eastAsia="Calibr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hAnsi="Cambria Math" w:eastAsia="Calibri"/>
                      <w:sz w:val="28"/>
                      <w:szCs w:val="28"/>
                      <w:lang w:val="en-US"/>
                    </w:rPr>
                    <m:rPr>
                      <m:sty m:val="p"/>
                    </m:rPr>
                    <m:t>3</m:t>
                  </m:r>
                  <m:r>
                    <w:rPr>
                      <w:rFonts w:ascii="Cambria Math" w:hAnsi="Cambria Math" w:eastAsia="Calibri"/>
                      <w:sz w:val="28"/>
                      <w:szCs w:val="28"/>
                    </w:rPr>
                    <m:rPr/>
                    <m:t>+</m:t>
                  </m:r>
                  <m:f>
                    <m:fPr>
                      <m:ctrlPr>
                        <w:rPr>
                          <w:rFonts w:ascii="Cambria Math" w:hAnsi="Cambria Math" w:eastAsia="Calibri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hAnsi="Cambria Math" w:eastAsia="Calibri"/>
                          <w:sz w:val="28"/>
                          <w:szCs w:val="28"/>
                          <w:lang w:val="en-US"/>
                        </w:rPr>
                        <m:rPr>
                          <m:sty m:val="p"/>
                        </m:rPr>
                        <m:t>5</m:t>
                      </m:r>
                    </m:num>
                    <m:den>
                      <m:r>
                        <w:rPr>
                          <w:rFonts w:ascii="Cambria Math" w:hAnsi="Cambria Math" w:eastAsia="Calibri"/>
                          <w:sz w:val="28"/>
                          <w:szCs w:val="28"/>
                        </w:rPr>
                        <m:rPr/>
                        <m:t>12</m:t>
                      </m:r>
                    </m:den>
                  </m:f>
                </m:e>
              </m:d>
            </m:den>
          </m:f>
          <m:r>
            <w:rPr>
              <w:rFonts w:ascii="Cambria Math" w:hAnsi="Cambria Math" w:eastAsia="Cambria Math" w:cs="Cambria Math"/>
            </w:rPr>
            <m:rPr/>
            <m:t>=1 087,5</m:t>
          </m:r>
          <m:r>
            <w:rPr>
              <w:rFonts w:ascii="Cambria Math" w:hAnsi="Cambria Math"/>
              <w:sz w:val="28"/>
              <w:szCs w:val="28"/>
            </w:rPr>
            <m:rPr/>
            <m:t> тыс. руб.;</m:t>
          </m:r>
        </m:oMath>
      </m:oMathPara>
      <w:r/>
      <w:r>
        <w:rPr>
          <w:sz w:val="28"/>
          <w:szCs w:val="28"/>
        </w:rPr>
      </w:r>
    </w:p>
    <w:p>
      <w:pPr>
        <w:rPr>
          <w:rFonts w:eastAsiaTheme="minorEastAsia"/>
          <w:sz w:val="28"/>
          <w:szCs w:val="28"/>
        </w:rPr>
      </w:pPr>
      <w:r/>
      <m:oMathPara>
        <m:oMathParaPr/>
        <m:oMath>
          <m:r>
            <w:rPr>
              <w:rFonts w:ascii="Cambria Math" w:hAnsi="Cambria Math" w:eastAsia="Calibri"/>
              <w:sz w:val="28"/>
              <w:szCs w:val="28"/>
            </w:rPr>
            <m:rPr/>
            <m:t>Доч </m:t>
          </m:r>
          <m:d>
            <m:dPr>
              <m:ctrlPr>
                <w:rPr>
                  <w:rFonts w:ascii="Cambria Math" w:hAnsi="Cambria Math" w:eastAsia="Calibr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eastAsia="Calibri"/>
                  <w:sz w:val="28"/>
                  <w:szCs w:val="28"/>
                </w:rPr>
                <m:rPr/>
                <m:t>2026</m:t>
              </m:r>
            </m:e>
          </m:d>
          <m:r>
            <w:rPr>
              <w:rFonts w:ascii="Cambria Math" w:hAnsi="Cambria Math" w:eastAsia="Calibri"/>
              <w:sz w:val="28"/>
              <w:szCs w:val="28"/>
            </w:rPr>
            <m:rPr/>
            <m:t>=</m:t>
          </m:r>
          <m:f>
            <m:fPr>
              <m:ctrlPr>
                <w:rPr>
                  <w:rFonts w:ascii="Cambria Math" w:hAnsi="Cambria Math" w:eastAsia="Calibri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eastAsia="Cambria Math" w:cs="Cambria Math"/>
                </w:rPr>
                <m:rPr/>
                <m:t>1 070,7+1 171,0+1 087,5</m:t>
              </m:r>
            </m:num>
            <m:den>
              <m:r>
                <w:rPr>
                  <w:rFonts w:ascii="Cambria Math" w:hAnsi="Cambria Math" w:eastAsia="Calibri"/>
                  <w:sz w:val="28"/>
                  <w:szCs w:val="28"/>
                </w:rPr>
                <m:rPr>
                  <m:sty m:val="p"/>
                </m:rPr>
                <m:t>3</m:t>
              </m:r>
            </m:den>
          </m:f>
          <m:r>
            <w:rPr>
              <w:rFonts w:ascii="Cambria Math" w:hAnsi="Cambria Math" w:eastAsia="Cambria Math" w:cs="Cambria Math"/>
            </w:rPr>
            <m:rPr/>
            <m:t>=1 109,7 </m:t>
          </m:r>
          <m:r>
            <w:rPr>
              <w:rFonts w:ascii="Cambria Math" w:hAnsi="Cambria Math"/>
              <w:sz w:val="28"/>
              <w:szCs w:val="28"/>
            </w:rPr>
            <m:rPr/>
            <m:t>тыс. руб.;</m:t>
          </m:r>
        </m:oMath>
      </m:oMathPara>
      <w:r/>
      <w:r>
        <w:rPr>
          <w:rFonts w:eastAsiaTheme="minorEastAsia"/>
          <w:sz w:val="28"/>
          <w:szCs w:val="28"/>
        </w:rPr>
      </w:r>
    </w:p>
    <w:p>
      <w:pPr>
        <w:rPr>
          <w:rFonts w:eastAsiaTheme="minorEastAsia"/>
          <w:sz w:val="28"/>
          <w:szCs w:val="28"/>
        </w:rPr>
      </w:pPr>
      <w:r/>
      <m:oMathPara>
        <m:oMathParaPr/>
        <m:oMath>
          <m:r>
            <w:rPr>
              <w:rFonts w:ascii="Cambria Math" w:hAnsi="Cambria Math" w:eastAsia="Calibri"/>
              <w:sz w:val="28"/>
              <w:szCs w:val="28"/>
            </w:rPr>
            <m:rPr/>
            <m:t>Доч </m:t>
          </m:r>
          <m:d>
            <m:dPr>
              <m:ctrlPr>
                <w:rPr>
                  <w:rFonts w:ascii="Cambria Math" w:hAnsi="Cambria Math" w:eastAsia="Calibr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eastAsia="Calibri"/>
                  <w:sz w:val="28"/>
                  <w:szCs w:val="28"/>
                </w:rPr>
                <m:rPr/>
                <m:t>2027</m:t>
              </m:r>
            </m:e>
          </m:d>
          <m:r>
            <w:rPr>
              <w:rFonts w:ascii="Cambria Math" w:hAnsi="Cambria Math" w:eastAsia="Calibri"/>
              <w:sz w:val="28"/>
              <w:szCs w:val="28"/>
            </w:rPr>
            <m:rPr/>
            <m:t>=</m:t>
          </m:r>
          <m:f>
            <m:fPr>
              <m:ctrlPr>
                <w:rPr>
                  <w:rFonts w:ascii="Cambria Math" w:hAnsi="Cambria Math" w:eastAsia="Calibri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eastAsia="Cambria Math" w:cs="Cambria Math"/>
                </w:rPr>
                <m:rPr/>
                <m:t>1 171,0+1087,5+1109,7</m:t>
              </m:r>
            </m:num>
            <m:den>
              <m:r>
                <w:rPr>
                  <w:rFonts w:ascii="Cambria Math" w:hAnsi="Cambria Math" w:eastAsia="Calibri"/>
                  <w:sz w:val="28"/>
                  <w:szCs w:val="28"/>
                </w:rPr>
                <m:rPr>
                  <m:sty m:val="p"/>
                </m:rPr>
                <m:t>3</m:t>
              </m:r>
            </m:den>
          </m:f>
          <m:r>
            <w:rPr>
              <w:rFonts w:ascii="Cambria Math" w:hAnsi="Cambria Math" w:eastAsia="Cambria Math" w:cs="Cambria Math"/>
            </w:rPr>
            <m:rPr/>
            <m:t>=1 122,7</m:t>
          </m:r>
          <m:r>
            <w:rPr>
              <w:rFonts w:ascii="Cambria Math" w:hAnsi="Cambria Math"/>
              <w:sz w:val="28"/>
              <w:szCs w:val="28"/>
            </w:rPr>
            <m:rPr/>
            <m:t> тыс. руб;</m:t>
          </m:r>
        </m:oMath>
      </m:oMathPara>
      <w:r/>
      <w:r>
        <w:rPr>
          <w:rFonts w:eastAsiaTheme="minorEastAsia"/>
          <w:sz w:val="28"/>
          <w:szCs w:val="28"/>
        </w:rPr>
      </w:r>
    </w:p>
    <w:p>
      <w:pPr>
        <w:rPr>
          <w:rFonts w:eastAsiaTheme="minorEastAsia"/>
          <w:sz w:val="28"/>
          <w:szCs w:val="28"/>
        </w:rPr>
      </w:pPr>
      <w:r/>
      <m:oMathPara>
        <m:oMathParaPr/>
        <m:oMath>
          <m:r>
            <w:rPr>
              <w:rFonts w:ascii="Cambria Math" w:hAnsi="Cambria Math" w:eastAsia="Calibri"/>
              <w:sz w:val="28"/>
              <w:szCs w:val="28"/>
            </w:rPr>
            <m:rPr/>
            <m:t>Доч </m:t>
          </m:r>
          <m:d>
            <m:dPr>
              <m:ctrlPr>
                <w:rPr>
                  <w:rFonts w:ascii="Cambria Math" w:hAnsi="Cambria Math" w:eastAsia="Calibr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eastAsia="Calibri"/>
                  <w:sz w:val="28"/>
                  <w:szCs w:val="28"/>
                </w:rPr>
                <m:rPr/>
                <m:t>2028</m:t>
              </m:r>
            </m:e>
          </m:d>
          <m:r>
            <w:rPr>
              <w:rFonts w:ascii="Cambria Math" w:hAnsi="Cambria Math" w:eastAsia="Calibri"/>
              <w:sz w:val="28"/>
              <w:szCs w:val="28"/>
            </w:rPr>
            <m:rPr/>
            <m:t>=</m:t>
          </m:r>
          <m:f>
            <m:fPr>
              <m:ctrlPr>
                <w:rPr>
                  <w:rFonts w:ascii="Cambria Math" w:hAnsi="Cambria Math" w:eastAsia="Calibri"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eastAsia="Cambria Math" w:cs="Cambria Math"/>
                </w:rPr>
                <m:rPr/>
                <m:t>1 </m:t>
              </m:r>
              <m:r>
                <w:rPr>
                  <w:rFonts w:ascii="Cambria Math" w:hAnsi="Cambria Math" w:eastAsia="Cambria Math" w:cs="Cambria Math"/>
                </w:rPr>
                <m:rPr/>
                <m:t>087,5+1 109,7+1 122,7</m:t>
              </m:r>
            </m:num>
            <m:den>
              <m:r>
                <w:rPr>
                  <w:rFonts w:ascii="Cambria Math" w:hAnsi="Cambria Math" w:eastAsia="Calibri"/>
                  <w:sz w:val="28"/>
                  <w:szCs w:val="28"/>
                </w:rPr>
                <m:rPr>
                  <m:sty m:val="p"/>
                </m:rPr>
                <m:t>3</m:t>
              </m:r>
            </m:den>
          </m:f>
          <m:r>
            <w:rPr>
              <w:rFonts w:ascii="Cambria Math" w:hAnsi="Cambria Math" w:eastAsia="Cambria Math" w:cs="Cambria Math"/>
            </w:rPr>
            <m:rPr/>
            <m:t>=1 106,6</m:t>
          </m:r>
          <m:r>
            <w:rPr>
              <w:rFonts w:ascii="Cambria Math" w:hAnsi="Cambria Math"/>
              <w:sz w:val="28"/>
              <w:szCs w:val="28"/>
            </w:rPr>
            <m:rPr/>
            <m:t> тыс. руб;</m:t>
          </m:r>
        </m:oMath>
      </m:oMathPara>
      <w:r/>
      <w:r>
        <w:rPr>
          <w:rFonts w:eastAsiaTheme="minorEastAsia"/>
          <w:sz w:val="28"/>
          <w:szCs w:val="28"/>
        </w:rPr>
      </w:r>
    </w:p>
    <w:p>
      <w:pPr>
        <w:ind w:firstLine="708"/>
        <w:jc w:val="both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коду доходов </w:t>
      </w:r>
      <w:r>
        <w:rPr>
          <w:rFonts w:ascii="Times New Roman" w:hAnsi="Times New Roman" w:cs="Times New Roman"/>
          <w:b/>
          <w:sz w:val="28"/>
          <w:szCs w:val="28"/>
        </w:rPr>
        <w:t xml:space="preserve">046 1 11 05032 02 0000 120</w:t>
      </w:r>
      <w:r>
        <w:rPr>
          <w:rFonts w:ascii="Times New Roman" w:hAnsi="Times New Roman" w:cs="Times New Roman"/>
          <w:sz w:val="28"/>
          <w:szCs w:val="28"/>
        </w:rPr>
        <w:t xml:space="preserve"> «Доходы от сдачи в аренду имущества, находящегося в оперативном управлении органов государственной власти субъектов Российской Федерации и созданных ими учреждений (за искл</w:t>
      </w:r>
      <w:r>
        <w:rPr>
          <w:rFonts w:ascii="Times New Roman" w:hAnsi="Times New Roman" w:cs="Times New Roman"/>
          <w:sz w:val="28"/>
          <w:szCs w:val="28"/>
        </w:rPr>
        <w:t xml:space="preserve">ючением имущества бюджетных и автономных учреждений субъектов Российской Федерации)» план на 2025 год утвержден в сумме 241,5 тыс. руб., фактическое исполнение за 5 месяцев 2025 года составило 113,6 тыс. руб. или 47,0% от годовых назначений. Ожидаемое пост</w:t>
      </w:r>
      <w:r>
        <w:rPr>
          <w:rFonts w:ascii="Times New Roman" w:hAnsi="Times New Roman" w:cs="Times New Roman"/>
          <w:sz w:val="28"/>
          <w:szCs w:val="28"/>
        </w:rPr>
        <w:t xml:space="preserve">упление в 2025 году составляет 239,07 тыс. руб.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прогнозных поступлений определяется методом прямого расчета в отношении каждого арендатора имущества, с которым на момент составления прогноза заключен договор аренды.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Расчет прогнозных поступлений ос</w:t>
      </w:r>
      <w:r>
        <w:rPr>
          <w:rFonts w:ascii="Times New Roman" w:hAnsi="Times New Roman" w:cs="Times New Roman"/>
          <w:sz w:val="28"/>
          <w:szCs w:val="28"/>
        </w:rPr>
        <w:t xml:space="preserve">новывается на данных о размере площади сдаваемых объектов, ставке арендной платы и динамике отдельных показателей прогноза социально-экономического развития, если иное не предусмотрено договором аренды, и учитывает ожидаемое поступление за текущий год, а т</w:t>
      </w:r>
      <w:r>
        <w:rPr>
          <w:rFonts w:ascii="Times New Roman" w:hAnsi="Times New Roman" w:cs="Times New Roman"/>
          <w:sz w:val="28"/>
          <w:szCs w:val="28"/>
        </w:rPr>
        <w:t xml:space="preserve">акже сумму ожидаемой ко взысканию дебиторской задолженности.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Источником данных о сдаваемой в аренду площади и ставке арендной платы являются договоры, заключенные (планируемые к заключению/расторжению) с арендаторами.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 проводится оценка рыночной с</w:t>
      </w:r>
      <w:r>
        <w:rPr>
          <w:rFonts w:ascii="Times New Roman" w:hAnsi="Times New Roman" w:cs="Times New Roman"/>
          <w:sz w:val="28"/>
          <w:szCs w:val="28"/>
        </w:rPr>
        <w:t xml:space="preserve">тоимости права пользования и владения помещениями, находящимися в областной собственности. На основании данных отчётов устанавливается ставка арендной платы. Также путём сопоставления данных отчётов можно судить о ежегодном увеличении ставки арендной платы</w:t>
      </w:r>
      <w:r>
        <w:rPr>
          <w:rFonts w:ascii="Times New Roman" w:hAnsi="Times New Roman" w:cs="Times New Roman"/>
          <w:sz w:val="28"/>
          <w:szCs w:val="28"/>
        </w:rPr>
        <w:t xml:space="preserve"> на 3%.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Оценка поступлений текущего года:</w:t>
      </w:r>
      <w:r>
        <w:rPr>
          <w:rFonts w:ascii="Times New Roman" w:hAnsi="Times New Roman" w:cs="Times New Roman"/>
          <w:b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 ПАО "Мегафон" Договор № 4/23 от 16.10.2022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кв. м * 1 000,41 руб. * 12 мес. = 120,04 тыс. руб. 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7"/>
        <w:ind w:left="709"/>
        <w:jc w:val="both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ООО "Т2 </w:t>
      </w:r>
      <w:r>
        <w:rPr>
          <w:rFonts w:ascii="Times New Roman" w:hAnsi="Times New Roman" w:cs="Times New Roman"/>
          <w:sz w:val="28"/>
          <w:szCs w:val="28"/>
        </w:rPr>
        <w:t xml:space="preserve">Мобайл</w:t>
      </w:r>
      <w:r>
        <w:rPr>
          <w:rFonts w:ascii="Times New Roman" w:hAnsi="Times New Roman" w:cs="Times New Roman"/>
          <w:sz w:val="28"/>
          <w:szCs w:val="28"/>
        </w:rPr>
        <w:t xml:space="preserve">" Договор № 160 от 15.11.2024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pStyle w:val="837"/>
        <w:ind w:left="709"/>
        <w:jc w:val="both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 кв. м* 10 82,16 руб. * 11 мес.= 119, 03 тыс. руб.;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Итого по д</w:t>
      </w:r>
      <w:r>
        <w:rPr>
          <w:rFonts w:ascii="Times New Roman" w:hAnsi="Times New Roman" w:cs="Times New Roman"/>
          <w:sz w:val="28"/>
          <w:szCs w:val="28"/>
        </w:rPr>
        <w:t xml:space="preserve">вум договорам = 119,03 + 120,04 = 239,07 тыс. руб.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Дебиторская задолженность на 01.01.2022 г. составила 19,2 тыс. руб.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224,5 + 19,2 = 243,7 тыс. руб.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Прогнозируемый объем поступлений на плановый период:</w:t>
      </w:r>
      <w:r>
        <w:rPr>
          <w:rFonts w:ascii="Times New Roman" w:hAnsi="Times New Roman" w:cs="Times New Roman"/>
          <w:b/>
          <w:bCs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2026 год = 239,07 + 3% = 246,2 тыс. руб.;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2027 год = </w:t>
      </w:r>
      <w:r>
        <w:rPr>
          <w:rFonts w:ascii="Times New Roman" w:hAnsi="Times New Roman" w:cs="Times New Roman"/>
          <w:sz w:val="28"/>
          <w:szCs w:val="28"/>
        </w:rPr>
        <w:t xml:space="preserve">239,07 + 3% = 246,2 тыс. руб.;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2028 год = 239,07 + 3% = 246,2 тыс. руб.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120"/>
        <w:rPr>
          <w:rFonts w:eastAsiaTheme="minorEastAsia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коду доходов </w:t>
      </w:r>
      <w:r>
        <w:rPr>
          <w:rFonts w:ascii="Times New Roman" w:hAnsi="Times New Roman" w:cs="Times New Roman"/>
          <w:b/>
          <w:sz w:val="28"/>
          <w:szCs w:val="28"/>
        </w:rPr>
        <w:t xml:space="preserve">046 1 16 01133 01 0000 140</w:t>
      </w:r>
      <w:r>
        <w:rPr>
          <w:rFonts w:ascii="Times New Roman" w:hAnsi="Times New Roman" w:cs="Times New Roman"/>
          <w:sz w:val="28"/>
          <w:szCs w:val="28"/>
        </w:rPr>
        <w:t xml:space="preserve"> «Административные штрафы, установленные Главой 13 Кодекса Российской Федерации об административных правонарушениях, за административные право</w:t>
      </w:r>
      <w:r>
        <w:rPr>
          <w:rFonts w:ascii="Times New Roman" w:hAnsi="Times New Roman" w:cs="Times New Roman"/>
          <w:sz w:val="28"/>
          <w:szCs w:val="28"/>
        </w:rPr>
        <w:t xml:space="preserve">нарушения в области связи и информации, налагаемые мировыми судьями, комиссиями по делам несовершеннолетних и защите их прав» план на 2025 не запланирован.</w:t>
      </w:r>
      <w:r>
        <w:rPr>
          <w:rFonts w:eastAsiaTheme="minorEastAsia"/>
          <w:sz w:val="28"/>
          <w:szCs w:val="28"/>
        </w:rPr>
      </w:r>
    </w:p>
    <w:p>
      <w:pPr>
        <w:ind w:firstLine="709"/>
        <w:jc w:val="both"/>
        <w:spacing w:after="120"/>
        <w:rPr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коду доходов </w:t>
      </w:r>
      <w:r>
        <w:rPr>
          <w:rFonts w:ascii="Times New Roman" w:hAnsi="Times New Roman" w:cs="Times New Roman"/>
          <w:b/>
          <w:sz w:val="28"/>
          <w:szCs w:val="28"/>
        </w:rPr>
        <w:t xml:space="preserve">046 1 16 07090 02 0000 140 </w:t>
      </w:r>
      <w:r>
        <w:rPr>
          <w:rFonts w:ascii="Times New Roman" w:hAnsi="Times New Roman" w:cs="Times New Roman"/>
          <w:sz w:val="28"/>
          <w:szCs w:val="28"/>
        </w:rPr>
        <w:t xml:space="preserve">Иные штрафы, неустойки, пени, уплаченные в соответствии с</w:t>
      </w:r>
      <w:r>
        <w:rPr>
          <w:rFonts w:ascii="Times New Roman" w:hAnsi="Times New Roman" w:cs="Times New Roman"/>
          <w:sz w:val="28"/>
          <w:szCs w:val="28"/>
        </w:rPr>
        <w:t xml:space="preserve"> законом или договором в случае неисполнения или ненадлежащего исполнения обязательств перед государственным органом субъекта Российской Федерации, казенным учреждением субъекта Российской Федерации план на 2025 год не запланирован.</w:t>
      </w:r>
      <w:r>
        <w:rPr>
          <w:bCs/>
          <w:sz w:val="28"/>
          <w:szCs w:val="28"/>
        </w:rPr>
      </w:r>
    </w:p>
    <w:p>
      <w:pPr>
        <w:ind w:firstLine="708"/>
        <w:jc w:val="both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046 1 17 01020 02 0000 </w:t>
      </w:r>
      <w:r>
        <w:rPr>
          <w:rFonts w:ascii="Times New Roman" w:hAnsi="Times New Roman" w:cs="Times New Roman"/>
          <w:b/>
          <w:sz w:val="28"/>
          <w:szCs w:val="28"/>
        </w:rPr>
        <w:t xml:space="preserve">180 </w:t>
      </w:r>
      <w:r>
        <w:rPr>
          <w:rFonts w:ascii="Times New Roman" w:hAnsi="Times New Roman" w:cs="Times New Roman"/>
          <w:sz w:val="28"/>
          <w:szCs w:val="28"/>
        </w:rPr>
        <w:t xml:space="preserve">«Невыясненные поступления, зачисляемые в бюджеты субъектов Российской Федерации». Невыясненные поступления не подлежат прогнозированию.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Поступления по данному коду бюджетной классификации Российской Федерации зависят от сумм невыясненных поступлений, з</w:t>
      </w:r>
      <w:r>
        <w:rPr>
          <w:rFonts w:ascii="Times New Roman" w:hAnsi="Times New Roman" w:cs="Times New Roman"/>
          <w:sz w:val="28"/>
          <w:szCs w:val="28"/>
        </w:rPr>
        <w:t xml:space="preserve">ачисляемых в областной бюджет Новосибирской области, по которым не осуществлен возврат (уточнение) по истечении трех лет со дня их зачисления на единый счет областного бюджета Новосибирской области. 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8"/>
        <w:jc w:val="both"/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</w:t>
      </w:r>
      <w:r>
        <w:rPr>
          <w:rFonts w:ascii="Times New Roman" w:hAnsi="Times New Roman" w:cs="Times New Roman"/>
          <w:sz w:val="28"/>
          <w:szCs w:val="28"/>
        </w:rPr>
        <w:t xml:space="preserve">поступления текущего года определяется на уровне сумм кассового поступления по данному коду доходов. Поступления по данному коду доходов на плановый период прогнозируются на нулевом уровне.</w:t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center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</w:t>
      </w:r>
      <w:r>
        <w:rPr>
          <w:rFonts w:ascii="Times New Roman" w:hAnsi="Times New Roman" w:cs="Times New Roman"/>
          <w:sz w:val="28"/>
          <w:szCs w:val="28"/>
        </w:rPr>
      </w:r>
    </w:p>
    <w:sectPr>
      <w:footnotePr/>
      <w:endnotePr/>
      <w:type w:val="nextPage"/>
      <w:pgSz w:w="11906" w:h="16838" w:orient="portrait"/>
      <w:pgMar w:top="993" w:right="424" w:bottom="1134" w:left="1276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 Math">
    <w:panose1 w:val="02000603000000000000"/>
  </w:font>
  <w:font w:name="Calibri">
    <w:panose1 w:val="020F0502020204030204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789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509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229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949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669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389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6109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7"/>
    <w:link w:val="65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7"/>
    <w:link w:val="65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7"/>
    <w:link w:val="66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7"/>
    <w:link w:val="66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7"/>
    <w:link w:val="66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7"/>
    <w:link w:val="66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7"/>
    <w:link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7"/>
    <w:link w:val="66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7"/>
    <w:link w:val="666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7"/>
    <w:link w:val="680"/>
    <w:uiPriority w:val="10"/>
    <w:rPr>
      <w:sz w:val="48"/>
      <w:szCs w:val="48"/>
    </w:rPr>
  </w:style>
  <w:style w:type="character" w:styleId="37">
    <w:name w:val="Subtitle Char"/>
    <w:basedOn w:val="667"/>
    <w:link w:val="682"/>
    <w:uiPriority w:val="11"/>
    <w:rPr>
      <w:sz w:val="24"/>
      <w:szCs w:val="24"/>
    </w:rPr>
  </w:style>
  <w:style w:type="character" w:styleId="39">
    <w:name w:val="Quote Char"/>
    <w:link w:val="684"/>
    <w:uiPriority w:val="29"/>
    <w:rPr>
      <w:i/>
    </w:rPr>
  </w:style>
  <w:style w:type="character" w:styleId="41">
    <w:name w:val="Intense Quote Char"/>
    <w:link w:val="686"/>
    <w:uiPriority w:val="30"/>
    <w:rPr>
      <w:i/>
    </w:rPr>
  </w:style>
  <w:style w:type="character" w:styleId="47">
    <w:name w:val="Caption Char"/>
    <w:basedOn w:val="691"/>
    <w:link w:val="689"/>
    <w:uiPriority w:val="99"/>
  </w:style>
  <w:style w:type="character" w:styleId="176">
    <w:name w:val="Footnote Text Char"/>
    <w:link w:val="820"/>
    <w:uiPriority w:val="99"/>
    <w:rPr>
      <w:sz w:val="18"/>
    </w:rPr>
  </w:style>
  <w:style w:type="character" w:styleId="179">
    <w:name w:val="Endnote Text Char"/>
    <w:link w:val="823"/>
    <w:uiPriority w:val="99"/>
    <w:rPr>
      <w:sz w:val="20"/>
    </w:rPr>
  </w:style>
  <w:style w:type="paragraph" w:styleId="657" w:default="1">
    <w:name w:val="Normal"/>
    <w:qFormat/>
  </w:style>
  <w:style w:type="paragraph" w:styleId="658">
    <w:name w:val="Heading 1"/>
    <w:basedOn w:val="657"/>
    <w:next w:val="657"/>
    <w:link w:val="670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9">
    <w:name w:val="Heading 2"/>
    <w:basedOn w:val="657"/>
    <w:next w:val="657"/>
    <w:link w:val="671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60">
    <w:name w:val="Heading 3"/>
    <w:basedOn w:val="657"/>
    <w:next w:val="657"/>
    <w:link w:val="672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61">
    <w:name w:val="Heading 4"/>
    <w:basedOn w:val="657"/>
    <w:next w:val="657"/>
    <w:link w:val="673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2">
    <w:name w:val="Heading 5"/>
    <w:basedOn w:val="657"/>
    <w:next w:val="657"/>
    <w:link w:val="674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3">
    <w:name w:val="Heading 6"/>
    <w:basedOn w:val="657"/>
    <w:next w:val="657"/>
    <w:link w:val="675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4">
    <w:name w:val="Heading 7"/>
    <w:basedOn w:val="657"/>
    <w:next w:val="657"/>
    <w:link w:val="676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5">
    <w:name w:val="Heading 8"/>
    <w:basedOn w:val="657"/>
    <w:next w:val="657"/>
    <w:link w:val="677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6">
    <w:name w:val="Heading 9"/>
    <w:basedOn w:val="657"/>
    <w:next w:val="657"/>
    <w:link w:val="678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7" w:default="1">
    <w:name w:val="Default Paragraph Font"/>
    <w:uiPriority w:val="1"/>
    <w:semiHidden/>
    <w:unhideWhenUsed/>
  </w:style>
  <w:style w:type="table" w:styleId="66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9" w:default="1">
    <w:name w:val="No List"/>
    <w:uiPriority w:val="99"/>
    <w:semiHidden/>
    <w:unhideWhenUsed/>
  </w:style>
  <w:style w:type="character" w:styleId="670" w:customStyle="1">
    <w:name w:val="Заголовок 1 Знак"/>
    <w:basedOn w:val="667"/>
    <w:link w:val="658"/>
    <w:uiPriority w:val="9"/>
    <w:rPr>
      <w:rFonts w:ascii="Arial" w:hAnsi="Arial" w:eastAsia="Arial" w:cs="Arial"/>
      <w:sz w:val="40"/>
      <w:szCs w:val="40"/>
    </w:rPr>
  </w:style>
  <w:style w:type="character" w:styleId="671" w:customStyle="1">
    <w:name w:val="Заголовок 2 Знак"/>
    <w:basedOn w:val="667"/>
    <w:link w:val="659"/>
    <w:uiPriority w:val="9"/>
    <w:rPr>
      <w:rFonts w:ascii="Arial" w:hAnsi="Arial" w:eastAsia="Arial" w:cs="Arial"/>
      <w:sz w:val="34"/>
    </w:rPr>
  </w:style>
  <w:style w:type="character" w:styleId="672" w:customStyle="1">
    <w:name w:val="Заголовок 3 Знак"/>
    <w:basedOn w:val="667"/>
    <w:link w:val="660"/>
    <w:uiPriority w:val="9"/>
    <w:rPr>
      <w:rFonts w:ascii="Arial" w:hAnsi="Arial" w:eastAsia="Arial" w:cs="Arial"/>
      <w:sz w:val="30"/>
      <w:szCs w:val="30"/>
    </w:rPr>
  </w:style>
  <w:style w:type="character" w:styleId="673" w:customStyle="1">
    <w:name w:val="Заголовок 4 Знак"/>
    <w:basedOn w:val="667"/>
    <w:link w:val="661"/>
    <w:uiPriority w:val="9"/>
    <w:rPr>
      <w:rFonts w:ascii="Arial" w:hAnsi="Arial" w:eastAsia="Arial" w:cs="Arial"/>
      <w:b/>
      <w:bCs/>
      <w:sz w:val="26"/>
      <w:szCs w:val="26"/>
    </w:rPr>
  </w:style>
  <w:style w:type="character" w:styleId="674" w:customStyle="1">
    <w:name w:val="Заголовок 5 Знак"/>
    <w:basedOn w:val="667"/>
    <w:link w:val="662"/>
    <w:uiPriority w:val="9"/>
    <w:rPr>
      <w:rFonts w:ascii="Arial" w:hAnsi="Arial" w:eastAsia="Arial" w:cs="Arial"/>
      <w:b/>
      <w:bCs/>
      <w:sz w:val="24"/>
      <w:szCs w:val="24"/>
    </w:rPr>
  </w:style>
  <w:style w:type="character" w:styleId="675" w:customStyle="1">
    <w:name w:val="Заголовок 6 Знак"/>
    <w:basedOn w:val="667"/>
    <w:link w:val="663"/>
    <w:uiPriority w:val="9"/>
    <w:rPr>
      <w:rFonts w:ascii="Arial" w:hAnsi="Arial" w:eastAsia="Arial" w:cs="Arial"/>
      <w:b/>
      <w:bCs/>
      <w:sz w:val="22"/>
      <w:szCs w:val="22"/>
    </w:rPr>
  </w:style>
  <w:style w:type="character" w:styleId="676" w:customStyle="1">
    <w:name w:val="Заголовок 7 Знак"/>
    <w:basedOn w:val="667"/>
    <w:link w:val="66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7" w:customStyle="1">
    <w:name w:val="Заголовок 8 Знак"/>
    <w:basedOn w:val="667"/>
    <w:link w:val="665"/>
    <w:uiPriority w:val="9"/>
    <w:rPr>
      <w:rFonts w:ascii="Arial" w:hAnsi="Arial" w:eastAsia="Arial" w:cs="Arial"/>
      <w:i/>
      <w:iCs/>
      <w:sz w:val="22"/>
      <w:szCs w:val="22"/>
    </w:rPr>
  </w:style>
  <w:style w:type="character" w:styleId="678" w:customStyle="1">
    <w:name w:val="Заголовок 9 Знак"/>
    <w:basedOn w:val="667"/>
    <w:link w:val="666"/>
    <w:uiPriority w:val="9"/>
    <w:rPr>
      <w:rFonts w:ascii="Arial" w:hAnsi="Arial" w:eastAsia="Arial" w:cs="Arial"/>
      <w:i/>
      <w:iCs/>
      <w:sz w:val="21"/>
      <w:szCs w:val="21"/>
    </w:rPr>
  </w:style>
  <w:style w:type="paragraph" w:styleId="679">
    <w:name w:val="No Spacing"/>
    <w:uiPriority w:val="1"/>
    <w:qFormat/>
    <w:pPr>
      <w:spacing w:after="0" w:line="240" w:lineRule="auto"/>
    </w:pPr>
  </w:style>
  <w:style w:type="paragraph" w:styleId="680">
    <w:name w:val="Title"/>
    <w:basedOn w:val="657"/>
    <w:next w:val="657"/>
    <w:link w:val="681"/>
    <w:uiPriority w:val="10"/>
    <w:qFormat/>
    <w:pPr>
      <w:contextualSpacing/>
      <w:spacing w:before="300"/>
    </w:pPr>
    <w:rPr>
      <w:sz w:val="48"/>
      <w:szCs w:val="48"/>
    </w:rPr>
  </w:style>
  <w:style w:type="character" w:styleId="681" w:customStyle="1">
    <w:name w:val="Заголовок Знак"/>
    <w:basedOn w:val="667"/>
    <w:link w:val="680"/>
    <w:uiPriority w:val="10"/>
    <w:rPr>
      <w:sz w:val="48"/>
      <w:szCs w:val="48"/>
    </w:rPr>
  </w:style>
  <w:style w:type="paragraph" w:styleId="682">
    <w:name w:val="Subtitle"/>
    <w:basedOn w:val="657"/>
    <w:next w:val="657"/>
    <w:link w:val="683"/>
    <w:uiPriority w:val="11"/>
    <w:qFormat/>
    <w:pPr>
      <w:spacing w:before="200"/>
    </w:pPr>
    <w:rPr>
      <w:sz w:val="24"/>
      <w:szCs w:val="24"/>
    </w:rPr>
  </w:style>
  <w:style w:type="character" w:styleId="683" w:customStyle="1">
    <w:name w:val="Подзаголовок Знак"/>
    <w:basedOn w:val="667"/>
    <w:link w:val="682"/>
    <w:uiPriority w:val="11"/>
    <w:rPr>
      <w:sz w:val="24"/>
      <w:szCs w:val="24"/>
    </w:rPr>
  </w:style>
  <w:style w:type="paragraph" w:styleId="684">
    <w:name w:val="Quote"/>
    <w:basedOn w:val="657"/>
    <w:next w:val="657"/>
    <w:link w:val="685"/>
    <w:uiPriority w:val="29"/>
    <w:qFormat/>
    <w:pPr>
      <w:ind w:left="720" w:right="720"/>
    </w:pPr>
    <w:rPr>
      <w:i/>
    </w:rPr>
  </w:style>
  <w:style w:type="character" w:styleId="685" w:customStyle="1">
    <w:name w:val="Цитата 2 Знак"/>
    <w:link w:val="684"/>
    <w:uiPriority w:val="29"/>
    <w:rPr>
      <w:i/>
    </w:rPr>
  </w:style>
  <w:style w:type="paragraph" w:styleId="686">
    <w:name w:val="Intense Quote"/>
    <w:basedOn w:val="657"/>
    <w:next w:val="657"/>
    <w:link w:val="687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7" w:customStyle="1">
    <w:name w:val="Выделенная цитата Знак"/>
    <w:link w:val="686"/>
    <w:uiPriority w:val="30"/>
    <w:rPr>
      <w:i/>
    </w:rPr>
  </w:style>
  <w:style w:type="character" w:styleId="688" w:customStyle="1">
    <w:name w:val="Header Char"/>
    <w:basedOn w:val="667"/>
    <w:uiPriority w:val="99"/>
  </w:style>
  <w:style w:type="paragraph" w:styleId="689">
    <w:name w:val="Footer"/>
    <w:basedOn w:val="657"/>
    <w:link w:val="69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90" w:customStyle="1">
    <w:name w:val="Footer Char"/>
    <w:basedOn w:val="667"/>
    <w:uiPriority w:val="99"/>
  </w:style>
  <w:style w:type="paragraph" w:styleId="691">
    <w:name w:val="Caption"/>
    <w:basedOn w:val="657"/>
    <w:next w:val="657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92" w:customStyle="1">
    <w:name w:val="Нижний колонтитул Знак"/>
    <w:link w:val="689"/>
    <w:uiPriority w:val="99"/>
  </w:style>
  <w:style w:type="table" w:styleId="693">
    <w:name w:val="Table Grid"/>
    <w:basedOn w:val="668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4" w:customStyle="1">
    <w:name w:val="Table Grid Light"/>
    <w:basedOn w:val="66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5">
    <w:name w:val="Plain Table 1"/>
    <w:basedOn w:val="668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2"/>
    <w:basedOn w:val="668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7">
    <w:name w:val="Plain Table 3"/>
    <w:basedOn w:val="6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8">
    <w:name w:val="Plain Table 4"/>
    <w:basedOn w:val="6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>
    <w:name w:val="Plain Table 5"/>
    <w:basedOn w:val="6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0">
    <w:name w:val="Grid Table 1 Light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 w:customStyle="1">
    <w:name w:val="Grid Table 1 Light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2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 w:customStyle="1">
    <w:name w:val="Grid Table 3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4"/>
    <w:basedOn w:val="668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2" w:customStyle="1">
    <w:name w:val="Grid Table 4 - Accent 1"/>
    <w:basedOn w:val="66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3" w:customStyle="1">
    <w:name w:val="Grid Table 4 - Accent 2"/>
    <w:basedOn w:val="668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4" w:customStyle="1">
    <w:name w:val="Grid Table 4 - Accent 3"/>
    <w:basedOn w:val="668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5" w:customStyle="1">
    <w:name w:val="Grid Table 4 - Accent 4"/>
    <w:basedOn w:val="668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6" w:customStyle="1">
    <w:name w:val="Grid Table 4 - Accent 5"/>
    <w:basedOn w:val="668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7" w:customStyle="1">
    <w:name w:val="Grid Table 4 - Accent 6"/>
    <w:basedOn w:val="668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8">
    <w:name w:val="Grid Table 5 Dark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4" w:customStyle="1">
    <w:name w:val="Grid Table 5 Dark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5">
    <w:name w:val="Grid Table 6 Colorful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6" w:customStyle="1">
    <w:name w:val="Grid Table 6 Colorful 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7" w:customStyle="1">
    <w:name w:val="Grid Table 6 Colorful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8" w:customStyle="1">
    <w:name w:val="Grid Table 6 Colorful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9" w:customStyle="1">
    <w:name w:val="Grid Table 6 Colorful 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40" w:customStyle="1">
    <w:name w:val="Grid Table 6 Colorful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1" w:customStyle="1">
    <w:name w:val="Grid Table 6 Colorful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2">
    <w:name w:val="Grid Table 7 Colorful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3" w:customStyle="1">
    <w:name w:val="Grid Table 7 Colorful 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4" w:customStyle="1">
    <w:name w:val="Grid Table 7 Colorful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5" w:customStyle="1">
    <w:name w:val="Grid Table 7 Colorful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6" w:customStyle="1">
    <w:name w:val="Grid Table 7 Colorful 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7" w:customStyle="1">
    <w:name w:val="Grid Table 7 Colorful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8" w:customStyle="1">
    <w:name w:val="Grid Table 7 Colorful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9">
    <w:name w:val="List Table 1 Light"/>
    <w:basedOn w:val="6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1"/>
    <w:basedOn w:val="6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2"/>
    <w:basedOn w:val="6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3"/>
    <w:basedOn w:val="6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4"/>
    <w:basedOn w:val="6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5"/>
    <w:basedOn w:val="6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List Table 1 Light - Accent 6"/>
    <w:basedOn w:val="668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2" w:customStyle="1">
    <w:name w:val="List Table 2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3">
    <w:name w:val="List Table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3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 w:customStyle="1">
    <w:name w:val="List Table 4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5 Dark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 w:customStyle="1">
    <w:name w:val="List Table 5 Dark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4">
    <w:name w:val="List Table 6 Colorful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5" w:customStyle="1">
    <w:name w:val="List Table 6 Colorful 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6" w:customStyle="1">
    <w:name w:val="List Table 6 Colorful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7" w:customStyle="1">
    <w:name w:val="List Table 6 Colorful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8" w:customStyle="1">
    <w:name w:val="List Table 6 Colorful 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89" w:customStyle="1">
    <w:name w:val="List Table 6 Colorful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90" w:customStyle="1">
    <w:name w:val="List Table 6 Colorful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91">
    <w:name w:val="List Table 7 Colorful"/>
    <w:basedOn w:val="66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2" w:customStyle="1">
    <w:name w:val="List Table 7 Colorful 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3" w:customStyle="1">
    <w:name w:val="List Table 7 Colorful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List Table 7 Colorful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5" w:customStyle="1">
    <w:name w:val="List Table 7 Colorful 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List Table 7 Colorful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7" w:customStyle="1">
    <w:name w:val="List Table 7 Colorful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8" w:customStyle="1">
    <w:name w:val="Lined - Accent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9" w:customStyle="1">
    <w:name w:val="Lined - Accent 1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0" w:customStyle="1">
    <w:name w:val="Lined - Accent 2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1" w:customStyle="1">
    <w:name w:val="Lined - Accent 3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2" w:customStyle="1">
    <w:name w:val="Lined - Accent 4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3" w:customStyle="1">
    <w:name w:val="Lined - Accent 5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4" w:customStyle="1">
    <w:name w:val="Lined - Accent 6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5" w:customStyle="1">
    <w:name w:val="Bordered &amp; Lined - Accent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6" w:customStyle="1">
    <w:name w:val="Bordered &amp; Lined - Accent 1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7" w:customStyle="1">
    <w:name w:val="Bordered &amp; Lined - Accent 2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8" w:customStyle="1">
    <w:name w:val="Bordered &amp; Lined - Accent 3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9" w:customStyle="1">
    <w:name w:val="Bordered &amp; Lined - Accent 4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10" w:customStyle="1">
    <w:name w:val="Bordered &amp; Lined - Accent 5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11" w:customStyle="1">
    <w:name w:val="Bordered &amp; Lined - Accent 6"/>
    <w:basedOn w:val="668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2" w:customStyle="1">
    <w:name w:val="Bordered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3" w:customStyle="1">
    <w:name w:val="Bordered - Accent 1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4" w:customStyle="1">
    <w:name w:val="Bordered - Accent 2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5" w:customStyle="1">
    <w:name w:val="Bordered - Accent 3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6" w:customStyle="1">
    <w:name w:val="Bordered - Accent 4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7" w:customStyle="1">
    <w:name w:val="Bordered - Accent 5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8" w:customStyle="1">
    <w:name w:val="Bordered - Accent 6"/>
    <w:basedOn w:val="668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19">
    <w:name w:val="Hyperlink"/>
    <w:uiPriority w:val="99"/>
    <w:unhideWhenUsed/>
    <w:rPr>
      <w:color w:val="0000ff" w:themeColor="hyperlink"/>
      <w:u w:val="single"/>
    </w:rPr>
  </w:style>
  <w:style w:type="paragraph" w:styleId="820">
    <w:name w:val="footnote text"/>
    <w:basedOn w:val="657"/>
    <w:link w:val="821"/>
    <w:uiPriority w:val="99"/>
    <w:semiHidden/>
    <w:unhideWhenUsed/>
    <w:pPr>
      <w:spacing w:after="40" w:line="240" w:lineRule="auto"/>
    </w:pPr>
    <w:rPr>
      <w:sz w:val="18"/>
    </w:rPr>
  </w:style>
  <w:style w:type="character" w:styleId="821" w:customStyle="1">
    <w:name w:val="Текст сноски Знак"/>
    <w:link w:val="820"/>
    <w:uiPriority w:val="99"/>
    <w:rPr>
      <w:sz w:val="18"/>
    </w:rPr>
  </w:style>
  <w:style w:type="character" w:styleId="822">
    <w:name w:val="footnote reference"/>
    <w:basedOn w:val="667"/>
    <w:uiPriority w:val="99"/>
    <w:unhideWhenUsed/>
    <w:rPr>
      <w:vertAlign w:val="superscript"/>
    </w:rPr>
  </w:style>
  <w:style w:type="paragraph" w:styleId="823">
    <w:name w:val="endnote text"/>
    <w:basedOn w:val="657"/>
    <w:link w:val="824"/>
    <w:uiPriority w:val="99"/>
    <w:semiHidden/>
    <w:unhideWhenUsed/>
    <w:pPr>
      <w:spacing w:after="0" w:line="240" w:lineRule="auto"/>
    </w:pPr>
    <w:rPr>
      <w:sz w:val="20"/>
    </w:rPr>
  </w:style>
  <w:style w:type="character" w:styleId="824" w:customStyle="1">
    <w:name w:val="Текст концевой сноски Знак"/>
    <w:link w:val="823"/>
    <w:uiPriority w:val="99"/>
    <w:rPr>
      <w:sz w:val="20"/>
    </w:rPr>
  </w:style>
  <w:style w:type="character" w:styleId="825">
    <w:name w:val="endnote reference"/>
    <w:basedOn w:val="667"/>
    <w:uiPriority w:val="99"/>
    <w:semiHidden/>
    <w:unhideWhenUsed/>
    <w:rPr>
      <w:vertAlign w:val="superscript"/>
    </w:rPr>
  </w:style>
  <w:style w:type="paragraph" w:styleId="826">
    <w:name w:val="toc 1"/>
    <w:basedOn w:val="657"/>
    <w:next w:val="657"/>
    <w:uiPriority w:val="39"/>
    <w:unhideWhenUsed/>
    <w:pPr>
      <w:spacing w:after="57"/>
    </w:pPr>
  </w:style>
  <w:style w:type="paragraph" w:styleId="827">
    <w:name w:val="toc 2"/>
    <w:basedOn w:val="657"/>
    <w:next w:val="657"/>
    <w:uiPriority w:val="39"/>
    <w:unhideWhenUsed/>
    <w:pPr>
      <w:ind w:left="283"/>
      <w:spacing w:after="57"/>
    </w:pPr>
  </w:style>
  <w:style w:type="paragraph" w:styleId="828">
    <w:name w:val="toc 3"/>
    <w:basedOn w:val="657"/>
    <w:next w:val="657"/>
    <w:uiPriority w:val="39"/>
    <w:unhideWhenUsed/>
    <w:pPr>
      <w:ind w:left="567"/>
      <w:spacing w:after="57"/>
    </w:pPr>
  </w:style>
  <w:style w:type="paragraph" w:styleId="829">
    <w:name w:val="toc 4"/>
    <w:basedOn w:val="657"/>
    <w:next w:val="657"/>
    <w:uiPriority w:val="39"/>
    <w:unhideWhenUsed/>
    <w:pPr>
      <w:ind w:left="850"/>
      <w:spacing w:after="57"/>
    </w:pPr>
  </w:style>
  <w:style w:type="paragraph" w:styleId="830">
    <w:name w:val="toc 5"/>
    <w:basedOn w:val="657"/>
    <w:next w:val="657"/>
    <w:uiPriority w:val="39"/>
    <w:unhideWhenUsed/>
    <w:pPr>
      <w:ind w:left="1134"/>
      <w:spacing w:after="57"/>
    </w:pPr>
  </w:style>
  <w:style w:type="paragraph" w:styleId="831">
    <w:name w:val="toc 6"/>
    <w:basedOn w:val="657"/>
    <w:next w:val="657"/>
    <w:uiPriority w:val="39"/>
    <w:unhideWhenUsed/>
    <w:pPr>
      <w:ind w:left="1417"/>
      <w:spacing w:after="57"/>
    </w:pPr>
  </w:style>
  <w:style w:type="paragraph" w:styleId="832">
    <w:name w:val="toc 7"/>
    <w:basedOn w:val="657"/>
    <w:next w:val="657"/>
    <w:uiPriority w:val="39"/>
    <w:unhideWhenUsed/>
    <w:pPr>
      <w:ind w:left="1701"/>
      <w:spacing w:after="57"/>
    </w:pPr>
  </w:style>
  <w:style w:type="paragraph" w:styleId="833">
    <w:name w:val="toc 8"/>
    <w:basedOn w:val="657"/>
    <w:next w:val="657"/>
    <w:uiPriority w:val="39"/>
    <w:unhideWhenUsed/>
    <w:pPr>
      <w:ind w:left="1984"/>
      <w:spacing w:after="57"/>
    </w:pPr>
  </w:style>
  <w:style w:type="paragraph" w:styleId="834">
    <w:name w:val="toc 9"/>
    <w:basedOn w:val="657"/>
    <w:next w:val="657"/>
    <w:uiPriority w:val="39"/>
    <w:unhideWhenUsed/>
    <w:pPr>
      <w:ind w:left="2268"/>
      <w:spacing w:after="57"/>
    </w:pPr>
  </w:style>
  <w:style w:type="paragraph" w:styleId="835">
    <w:name w:val="TOC Heading"/>
    <w:uiPriority w:val="39"/>
    <w:unhideWhenUsed/>
  </w:style>
  <w:style w:type="paragraph" w:styleId="836">
    <w:name w:val="table of figures"/>
    <w:basedOn w:val="657"/>
    <w:next w:val="657"/>
    <w:uiPriority w:val="99"/>
    <w:unhideWhenUsed/>
    <w:pPr>
      <w:spacing w:after="0"/>
    </w:pPr>
  </w:style>
  <w:style w:type="paragraph" w:styleId="837">
    <w:name w:val="List Paragraph"/>
    <w:basedOn w:val="657"/>
    <w:uiPriority w:val="34"/>
    <w:qFormat/>
    <w:pPr>
      <w:contextualSpacing/>
      <w:ind w:left="720"/>
    </w:pPr>
  </w:style>
  <w:style w:type="paragraph" w:styleId="838" w:customStyle="1">
    <w:name w:val="Style2"/>
    <w:basedOn w:val="657"/>
    <w:uiPriority w:val="99"/>
    <w:pPr>
      <w:spacing w:after="0" w:line="240" w:lineRule="auto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39" w:customStyle="1">
    <w:name w:val="Style3"/>
    <w:basedOn w:val="657"/>
    <w:uiPriority w:val="99"/>
    <w:pPr>
      <w:ind w:firstLine="706"/>
      <w:jc w:val="both"/>
      <w:spacing w:after="0" w:line="382" w:lineRule="exact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0" w:customStyle="1">
    <w:name w:val="Font Style11"/>
    <w:uiPriority w:val="99"/>
    <w:rPr>
      <w:rFonts w:ascii="Times New Roman" w:hAnsi="Times New Roman"/>
      <w:sz w:val="26"/>
    </w:rPr>
  </w:style>
  <w:style w:type="character" w:styleId="841" w:customStyle="1">
    <w:name w:val="Font Style13"/>
    <w:uiPriority w:val="99"/>
    <w:rPr>
      <w:rFonts w:ascii="Times New Roman" w:hAnsi="Times New Roman"/>
      <w:b/>
      <w:sz w:val="16"/>
    </w:rPr>
  </w:style>
  <w:style w:type="paragraph" w:styleId="842">
    <w:name w:val="Body Text 3"/>
    <w:basedOn w:val="657"/>
    <w:link w:val="843"/>
    <w:uiPriority w:val="99"/>
    <w:pPr>
      <w:spacing w:after="120" w:line="240" w:lineRule="auto"/>
    </w:pPr>
    <w:rPr>
      <w:rFonts w:ascii="Times New Roman" w:hAnsi="Times New Roman" w:eastAsia="Times New Roman" w:cs="Times New Roman"/>
      <w:sz w:val="16"/>
      <w:szCs w:val="16"/>
      <w:lang w:eastAsia="ru-RU"/>
    </w:rPr>
  </w:style>
  <w:style w:type="character" w:styleId="843" w:customStyle="1">
    <w:name w:val="Основной текст 3 Знак"/>
    <w:basedOn w:val="667"/>
    <w:link w:val="842"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44" w:customStyle="1">
    <w:name w:val="Style1"/>
    <w:basedOn w:val="657"/>
    <w:uiPriority w:val="99"/>
    <w:pPr>
      <w:ind w:firstLine="698"/>
      <w:jc w:val="both"/>
      <w:spacing w:after="0" w:line="324" w:lineRule="exact"/>
      <w:widowControl w:val="off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45" w:customStyle="1">
    <w:name w:val="Font Style14"/>
    <w:uiPriority w:val="99"/>
    <w:rPr>
      <w:rFonts w:ascii="Times New Roman" w:hAnsi="Times New Roman"/>
      <w:b/>
      <w:sz w:val="20"/>
    </w:rPr>
  </w:style>
  <w:style w:type="paragraph" w:styleId="846">
    <w:name w:val="Balloon Text"/>
    <w:basedOn w:val="657"/>
    <w:link w:val="84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47" w:customStyle="1">
    <w:name w:val="Текст выноски Знак"/>
    <w:basedOn w:val="667"/>
    <w:link w:val="846"/>
    <w:uiPriority w:val="99"/>
    <w:semiHidden/>
    <w:rPr>
      <w:rFonts w:ascii="Segoe UI" w:hAnsi="Segoe UI" w:cs="Segoe UI"/>
      <w:sz w:val="18"/>
      <w:szCs w:val="18"/>
    </w:rPr>
  </w:style>
  <w:style w:type="paragraph" w:styleId="848" w:customStyle="1">
    <w:name w:val="Default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849">
    <w:name w:val="Header"/>
    <w:basedOn w:val="657"/>
    <w:link w:val="850"/>
    <w:uiPriority w:val="99"/>
    <w:pPr>
      <w:spacing w:after="0" w:line="240" w:lineRule="auto"/>
      <w:tabs>
        <w:tab w:val="center" w:pos="4153" w:leader="none"/>
        <w:tab w:val="right" w:pos="8306" w:leader="none"/>
      </w:tabs>
    </w:pPr>
    <w:rPr>
      <w:rFonts w:ascii="Times New Roman" w:hAnsi="Times New Roman" w:eastAsia="Times New Roman" w:cs="Times New Roman"/>
      <w:sz w:val="20"/>
      <w:szCs w:val="20"/>
      <w:lang w:eastAsia="ru-RU"/>
    </w:rPr>
  </w:style>
  <w:style w:type="character" w:styleId="850" w:customStyle="1">
    <w:name w:val="Верхний колонтитул Знак"/>
    <w:basedOn w:val="667"/>
    <w:link w:val="849"/>
    <w:uiPriority w:val="99"/>
    <w:rPr>
      <w:rFonts w:ascii="Times New Roman" w:hAnsi="Times New Roman" w:eastAsia="Times New Roman" w:cs="Times New Roman"/>
      <w:sz w:val="20"/>
      <w:szCs w:val="20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1EF10E-22E8-4999-98A6-B8626ACB75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Р7-Офис/2024.3.1.523</Application>
  <Company>MFNSO</Company>
  <DocSecurity>4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Рогожникова Екатерина Олеговна</dc:creator>
  <cp:revision>3</cp:revision>
  <dcterms:created xsi:type="dcterms:W3CDTF">2025-07-15T04:07:00Z</dcterms:created>
  <dcterms:modified xsi:type="dcterms:W3CDTF">2025-07-17T04:52:00Z</dcterms:modified>
</cp:coreProperties>
</file>